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556" w:rsidRDefault="00AC5556" w:rsidP="008C40E9">
      <w:pPr>
        <w:tabs>
          <w:tab w:val="right" w:pos="9923"/>
        </w:tabs>
        <w:jc w:val="both"/>
        <w:rPr>
          <w:rFonts w:ascii="Arial" w:hAnsi="Arial" w:cs="Arial"/>
          <w:sz w:val="20"/>
          <w:szCs w:val="20"/>
        </w:rPr>
      </w:pPr>
      <w:bookmarkStart w:id="0" w:name="RANGE!A1:A10"/>
    </w:p>
    <w:p w:rsidR="00AC5556" w:rsidRDefault="00AC5556" w:rsidP="008C40E9">
      <w:pPr>
        <w:tabs>
          <w:tab w:val="right" w:pos="9923"/>
        </w:tabs>
        <w:jc w:val="both"/>
        <w:rPr>
          <w:rFonts w:ascii="Arial" w:hAnsi="Arial" w:cs="Arial"/>
          <w:sz w:val="20"/>
          <w:szCs w:val="20"/>
        </w:rPr>
      </w:pPr>
    </w:p>
    <w:p w:rsidR="00AC5556" w:rsidRDefault="00AC5556" w:rsidP="008C40E9">
      <w:pPr>
        <w:tabs>
          <w:tab w:val="right" w:pos="9923"/>
        </w:tabs>
        <w:jc w:val="both"/>
        <w:rPr>
          <w:rFonts w:ascii="Arial" w:hAnsi="Arial" w:cs="Arial"/>
          <w:sz w:val="20"/>
          <w:szCs w:val="20"/>
        </w:rPr>
      </w:pPr>
    </w:p>
    <w:p w:rsidR="00AC5556" w:rsidRDefault="00AC5556" w:rsidP="008C40E9">
      <w:pPr>
        <w:tabs>
          <w:tab w:val="right" w:pos="9923"/>
        </w:tabs>
        <w:jc w:val="both"/>
        <w:rPr>
          <w:rFonts w:ascii="Arial" w:hAnsi="Arial" w:cs="Arial"/>
          <w:sz w:val="20"/>
          <w:szCs w:val="20"/>
        </w:rPr>
      </w:pPr>
    </w:p>
    <w:p w:rsidR="00AC5556" w:rsidRDefault="00AC5556" w:rsidP="008C40E9">
      <w:pPr>
        <w:tabs>
          <w:tab w:val="right" w:pos="9923"/>
        </w:tabs>
        <w:jc w:val="both"/>
        <w:rPr>
          <w:rFonts w:ascii="Arial" w:hAnsi="Arial" w:cs="Arial"/>
          <w:sz w:val="20"/>
          <w:szCs w:val="20"/>
        </w:rPr>
      </w:pPr>
    </w:p>
    <w:p w:rsidR="00AC5556" w:rsidRDefault="00AC5556" w:rsidP="008C40E9">
      <w:pPr>
        <w:tabs>
          <w:tab w:val="right" w:pos="9923"/>
        </w:tabs>
        <w:jc w:val="both"/>
        <w:rPr>
          <w:rFonts w:ascii="Arial" w:hAnsi="Arial" w:cs="Arial"/>
          <w:sz w:val="20"/>
          <w:szCs w:val="20"/>
        </w:rPr>
      </w:pPr>
    </w:p>
    <w:p w:rsidR="00755305" w:rsidRPr="008C40E9" w:rsidRDefault="009B1052" w:rsidP="008C40E9">
      <w:pPr>
        <w:tabs>
          <w:tab w:val="right" w:pos="9923"/>
        </w:tabs>
        <w:jc w:val="both"/>
        <w:rPr>
          <w:rFonts w:ascii="Arial" w:hAnsi="Arial" w:cs="Arial"/>
          <w:sz w:val="20"/>
          <w:szCs w:val="20"/>
        </w:rPr>
      </w:pPr>
      <w:r w:rsidRPr="008C40E9">
        <w:rPr>
          <w:rFonts w:ascii="Arial" w:hAnsi="Arial" w:cs="Arial"/>
          <w:sz w:val="20"/>
          <w:szCs w:val="20"/>
        </w:rPr>
        <w:t>EL ORO LTD</w:t>
      </w:r>
      <w:r w:rsidRPr="008C40E9">
        <w:rPr>
          <w:rFonts w:ascii="Arial" w:hAnsi="Arial" w:cs="Arial"/>
          <w:sz w:val="20"/>
          <w:szCs w:val="20"/>
        </w:rPr>
        <w:tab/>
      </w:r>
      <w:r w:rsidR="00805F9D" w:rsidRPr="008C40E9">
        <w:rPr>
          <w:rFonts w:ascii="Arial" w:hAnsi="Arial" w:cs="Arial"/>
          <w:sz w:val="20"/>
          <w:szCs w:val="20"/>
        </w:rPr>
        <w:t>1</w:t>
      </w:r>
      <w:r w:rsidR="00EA18F4" w:rsidRPr="008C40E9">
        <w:rPr>
          <w:rFonts w:ascii="Arial" w:hAnsi="Arial" w:cs="Arial"/>
          <w:sz w:val="20"/>
          <w:szCs w:val="20"/>
        </w:rPr>
        <w:t>1</w:t>
      </w:r>
      <w:r w:rsidR="00805F9D" w:rsidRPr="008C40E9">
        <w:rPr>
          <w:rFonts w:ascii="Arial" w:hAnsi="Arial" w:cs="Arial"/>
          <w:sz w:val="20"/>
          <w:szCs w:val="20"/>
        </w:rPr>
        <w:t xml:space="preserve"> April 201</w:t>
      </w:r>
      <w:r w:rsidR="00EA18F4" w:rsidRPr="008C40E9">
        <w:rPr>
          <w:rFonts w:ascii="Arial" w:hAnsi="Arial" w:cs="Arial"/>
          <w:sz w:val="20"/>
          <w:szCs w:val="20"/>
        </w:rPr>
        <w:t>3</w:t>
      </w:r>
    </w:p>
    <w:p w:rsidR="00755305" w:rsidRPr="008C40E9" w:rsidRDefault="00755305" w:rsidP="008C40E9">
      <w:pPr>
        <w:jc w:val="both"/>
        <w:rPr>
          <w:rFonts w:ascii="Arial" w:hAnsi="Arial" w:cs="Arial"/>
          <w:sz w:val="20"/>
          <w:szCs w:val="20"/>
        </w:rPr>
      </w:pPr>
    </w:p>
    <w:p w:rsidR="00755305" w:rsidRPr="008C40E9" w:rsidRDefault="00755305" w:rsidP="008C40E9">
      <w:pPr>
        <w:jc w:val="both"/>
        <w:rPr>
          <w:rFonts w:ascii="Arial" w:hAnsi="Arial" w:cs="Arial"/>
          <w:bCs/>
          <w:sz w:val="20"/>
          <w:szCs w:val="20"/>
          <w:lang w:eastAsia="ja-JP"/>
        </w:rPr>
      </w:pPr>
      <w:r w:rsidRPr="008C40E9">
        <w:rPr>
          <w:rFonts w:ascii="Arial" w:hAnsi="Arial" w:cs="Arial"/>
          <w:bCs/>
          <w:sz w:val="20"/>
          <w:szCs w:val="20"/>
          <w:lang w:eastAsia="ja-JP"/>
        </w:rPr>
        <w:t>Interim Results</w:t>
      </w:r>
    </w:p>
    <w:p w:rsidR="00755305" w:rsidRPr="008C40E9" w:rsidRDefault="00755305" w:rsidP="008C40E9">
      <w:pPr>
        <w:jc w:val="both"/>
        <w:rPr>
          <w:rFonts w:ascii="Arial" w:hAnsi="Arial" w:cs="Arial"/>
          <w:sz w:val="20"/>
          <w:szCs w:val="20"/>
          <w:lang w:eastAsia="ja-JP"/>
        </w:rPr>
      </w:pPr>
      <w:r w:rsidRPr="008C40E9">
        <w:rPr>
          <w:rFonts w:ascii="Arial" w:hAnsi="Arial" w:cs="Arial"/>
          <w:sz w:val="20"/>
          <w:szCs w:val="20"/>
          <w:lang w:eastAsia="ja-JP"/>
        </w:rPr>
        <w:t> </w:t>
      </w:r>
    </w:p>
    <w:p w:rsidR="00755305" w:rsidRPr="008C40E9" w:rsidRDefault="00755305" w:rsidP="008C40E9">
      <w:pPr>
        <w:jc w:val="both"/>
        <w:rPr>
          <w:rFonts w:ascii="Arial" w:hAnsi="Arial" w:cs="Arial"/>
          <w:sz w:val="20"/>
          <w:szCs w:val="20"/>
          <w:lang w:eastAsia="ja-JP"/>
        </w:rPr>
      </w:pPr>
      <w:r w:rsidRPr="008C40E9">
        <w:rPr>
          <w:rFonts w:ascii="Arial" w:hAnsi="Arial" w:cs="Arial"/>
          <w:sz w:val="20"/>
          <w:szCs w:val="20"/>
          <w:lang w:eastAsia="ja-JP"/>
        </w:rPr>
        <w:t xml:space="preserve">El Oro </w:t>
      </w:r>
      <w:r w:rsidR="009B1052" w:rsidRPr="008C40E9">
        <w:rPr>
          <w:rFonts w:ascii="Arial" w:hAnsi="Arial" w:cs="Arial"/>
          <w:sz w:val="20"/>
          <w:szCs w:val="20"/>
          <w:lang w:eastAsia="ja-JP"/>
        </w:rPr>
        <w:t>Ltd</w:t>
      </w:r>
      <w:r w:rsidRPr="008C40E9">
        <w:rPr>
          <w:rFonts w:ascii="Arial" w:hAnsi="Arial" w:cs="Arial"/>
          <w:sz w:val="20"/>
          <w:szCs w:val="20"/>
          <w:lang w:eastAsia="ja-JP"/>
        </w:rPr>
        <w:t xml:space="preserve"> announces its interim results for the s</w:t>
      </w:r>
      <w:r w:rsidR="009B1052" w:rsidRPr="008C40E9">
        <w:rPr>
          <w:rFonts w:ascii="Arial" w:hAnsi="Arial" w:cs="Arial"/>
          <w:sz w:val="20"/>
          <w:szCs w:val="20"/>
          <w:lang w:eastAsia="ja-JP"/>
        </w:rPr>
        <w:t>ix months ended 31 December 20</w:t>
      </w:r>
      <w:r w:rsidR="00805F9D" w:rsidRPr="008C40E9">
        <w:rPr>
          <w:rFonts w:ascii="Arial" w:hAnsi="Arial" w:cs="Arial"/>
          <w:sz w:val="20"/>
          <w:szCs w:val="20"/>
          <w:lang w:eastAsia="ja-JP"/>
        </w:rPr>
        <w:t>1</w:t>
      </w:r>
      <w:r w:rsidR="00EA18F4" w:rsidRPr="008C40E9">
        <w:rPr>
          <w:rFonts w:ascii="Arial" w:hAnsi="Arial" w:cs="Arial"/>
          <w:sz w:val="20"/>
          <w:szCs w:val="20"/>
          <w:lang w:eastAsia="ja-JP"/>
        </w:rPr>
        <w:t>2</w:t>
      </w:r>
      <w:r w:rsidRPr="008C40E9">
        <w:rPr>
          <w:rFonts w:ascii="Arial" w:hAnsi="Arial" w:cs="Arial"/>
          <w:sz w:val="20"/>
          <w:szCs w:val="20"/>
          <w:lang w:eastAsia="ja-JP"/>
        </w:rPr>
        <w:t>.</w:t>
      </w:r>
    </w:p>
    <w:p w:rsidR="00755305" w:rsidRPr="008C40E9" w:rsidRDefault="00755305" w:rsidP="008C40E9">
      <w:pPr>
        <w:jc w:val="both"/>
        <w:rPr>
          <w:rFonts w:ascii="Arial" w:hAnsi="Arial" w:cs="Arial"/>
          <w:sz w:val="20"/>
          <w:szCs w:val="20"/>
          <w:lang w:eastAsia="ja-JP"/>
        </w:rPr>
      </w:pPr>
    </w:p>
    <w:p w:rsidR="009B1052" w:rsidRPr="008C40E9" w:rsidRDefault="00755305" w:rsidP="008C40E9">
      <w:pPr>
        <w:jc w:val="both"/>
        <w:rPr>
          <w:rFonts w:ascii="Arial" w:hAnsi="Arial" w:cs="Arial"/>
          <w:sz w:val="20"/>
          <w:szCs w:val="20"/>
          <w:lang w:eastAsia="ja-JP"/>
        </w:rPr>
      </w:pPr>
      <w:r w:rsidRPr="008C40E9">
        <w:rPr>
          <w:rFonts w:ascii="Arial" w:hAnsi="Arial" w:cs="Arial"/>
          <w:sz w:val="20"/>
          <w:szCs w:val="20"/>
          <w:lang w:eastAsia="ja-JP"/>
        </w:rPr>
        <w:t>The interim results for the s</w:t>
      </w:r>
      <w:r w:rsidR="009B1052" w:rsidRPr="008C40E9">
        <w:rPr>
          <w:rFonts w:ascii="Arial" w:hAnsi="Arial" w:cs="Arial"/>
          <w:sz w:val="20"/>
          <w:szCs w:val="20"/>
          <w:lang w:eastAsia="ja-JP"/>
        </w:rPr>
        <w:t>ix months ended 31 December 20</w:t>
      </w:r>
      <w:r w:rsidR="00805F9D" w:rsidRPr="008C40E9">
        <w:rPr>
          <w:rFonts w:ascii="Arial" w:hAnsi="Arial" w:cs="Arial"/>
          <w:sz w:val="20"/>
          <w:szCs w:val="20"/>
          <w:lang w:eastAsia="ja-JP"/>
        </w:rPr>
        <w:t>1</w:t>
      </w:r>
      <w:r w:rsidR="00EA18F4" w:rsidRPr="008C40E9">
        <w:rPr>
          <w:rFonts w:ascii="Arial" w:hAnsi="Arial" w:cs="Arial"/>
          <w:sz w:val="20"/>
          <w:szCs w:val="20"/>
          <w:lang w:eastAsia="ja-JP"/>
        </w:rPr>
        <w:t>2</w:t>
      </w:r>
      <w:r w:rsidRPr="008C40E9">
        <w:rPr>
          <w:rFonts w:ascii="Arial" w:hAnsi="Arial" w:cs="Arial"/>
          <w:sz w:val="20"/>
          <w:szCs w:val="20"/>
          <w:lang w:eastAsia="ja-JP"/>
        </w:rPr>
        <w:t xml:space="preserve"> will b</w:t>
      </w:r>
      <w:r w:rsidR="009B1052" w:rsidRPr="008C40E9">
        <w:rPr>
          <w:rFonts w:ascii="Arial" w:hAnsi="Arial" w:cs="Arial"/>
          <w:sz w:val="20"/>
          <w:szCs w:val="20"/>
          <w:lang w:eastAsia="ja-JP"/>
        </w:rPr>
        <w:t>e posted to shareholders and will be</w:t>
      </w:r>
      <w:r w:rsidRPr="008C40E9">
        <w:rPr>
          <w:rFonts w:ascii="Arial" w:hAnsi="Arial" w:cs="Arial"/>
          <w:sz w:val="20"/>
          <w:szCs w:val="20"/>
          <w:lang w:eastAsia="ja-JP"/>
        </w:rPr>
        <w:t xml:space="preserve"> available </w:t>
      </w:r>
      <w:r w:rsidR="009B1052" w:rsidRPr="008C40E9">
        <w:rPr>
          <w:rFonts w:ascii="Arial" w:hAnsi="Arial" w:cs="Arial"/>
          <w:sz w:val="20"/>
          <w:szCs w:val="20"/>
          <w:lang w:eastAsia="ja-JP"/>
        </w:rPr>
        <w:t xml:space="preserve">shortly </w:t>
      </w:r>
      <w:r w:rsidRPr="008C40E9">
        <w:rPr>
          <w:rFonts w:ascii="Arial" w:hAnsi="Arial" w:cs="Arial"/>
          <w:sz w:val="20"/>
          <w:szCs w:val="20"/>
          <w:lang w:eastAsia="ja-JP"/>
        </w:rPr>
        <w:t xml:space="preserve">on the Company’s website </w:t>
      </w:r>
      <w:hyperlink r:id="rId7" w:history="1">
        <w:r w:rsidR="00805F9D" w:rsidRPr="008C40E9">
          <w:rPr>
            <w:rStyle w:val="Hyperlink"/>
            <w:rFonts w:ascii="Arial" w:hAnsi="Arial" w:cs="Arial"/>
            <w:sz w:val="20"/>
            <w:szCs w:val="20"/>
            <w:lang w:eastAsia="ja-JP"/>
          </w:rPr>
          <w:t>www.eloro.com</w:t>
        </w:r>
      </w:hyperlink>
      <w:r w:rsidRPr="008C40E9">
        <w:rPr>
          <w:rFonts w:ascii="Arial" w:hAnsi="Arial" w:cs="Arial"/>
          <w:sz w:val="20"/>
          <w:szCs w:val="20"/>
          <w:lang w:eastAsia="ja-JP"/>
        </w:rPr>
        <w:t>.</w:t>
      </w:r>
    </w:p>
    <w:p w:rsidR="009B1052" w:rsidRPr="008C40E9" w:rsidRDefault="009B1052" w:rsidP="008C40E9">
      <w:pPr>
        <w:jc w:val="both"/>
        <w:rPr>
          <w:rFonts w:ascii="Arial" w:hAnsi="Arial" w:cs="Arial"/>
          <w:sz w:val="20"/>
          <w:szCs w:val="20"/>
          <w:lang w:eastAsia="ja-JP"/>
        </w:rPr>
      </w:pPr>
    </w:p>
    <w:p w:rsidR="00755305" w:rsidRPr="008C40E9" w:rsidRDefault="00755305" w:rsidP="008C40E9">
      <w:pPr>
        <w:jc w:val="both"/>
        <w:rPr>
          <w:rFonts w:ascii="Arial" w:hAnsi="Arial" w:cs="Arial"/>
          <w:sz w:val="20"/>
          <w:szCs w:val="20"/>
          <w:lang w:eastAsia="ja-JP"/>
        </w:rPr>
      </w:pPr>
      <w:r w:rsidRPr="008C40E9">
        <w:rPr>
          <w:rFonts w:ascii="Arial" w:hAnsi="Arial" w:cs="Arial"/>
          <w:sz w:val="20"/>
          <w:szCs w:val="20"/>
          <w:lang w:eastAsia="ja-JP"/>
        </w:rPr>
        <w:t>Extracts from the</w:t>
      </w:r>
      <w:r w:rsidR="009B1052" w:rsidRPr="008C40E9">
        <w:rPr>
          <w:rFonts w:ascii="Arial" w:hAnsi="Arial" w:cs="Arial"/>
          <w:sz w:val="20"/>
          <w:szCs w:val="20"/>
          <w:lang w:eastAsia="ja-JP"/>
        </w:rPr>
        <w:t xml:space="preserve"> interim results</w:t>
      </w:r>
      <w:r w:rsidRPr="008C40E9">
        <w:rPr>
          <w:rFonts w:ascii="Arial" w:hAnsi="Arial" w:cs="Arial"/>
          <w:sz w:val="20"/>
          <w:szCs w:val="20"/>
          <w:lang w:eastAsia="ja-JP"/>
        </w:rPr>
        <w:t xml:space="preserve"> are set out below.</w:t>
      </w:r>
    </w:p>
    <w:p w:rsidR="00755305" w:rsidRPr="008C40E9" w:rsidRDefault="00755305" w:rsidP="008C40E9">
      <w:pPr>
        <w:jc w:val="both"/>
        <w:rPr>
          <w:rFonts w:ascii="Arial" w:hAnsi="Arial" w:cs="Arial"/>
          <w:sz w:val="20"/>
          <w:szCs w:val="20"/>
          <w:lang w:eastAsia="ja-JP"/>
        </w:rPr>
      </w:pPr>
      <w:r w:rsidRPr="008C40E9">
        <w:rPr>
          <w:rFonts w:ascii="Arial" w:hAnsi="Arial" w:cs="Arial"/>
          <w:sz w:val="20"/>
          <w:szCs w:val="20"/>
          <w:lang w:eastAsia="ja-JP"/>
        </w:rPr>
        <w:t> </w:t>
      </w:r>
    </w:p>
    <w:p w:rsidR="00755305" w:rsidRPr="008C40E9" w:rsidRDefault="00755305" w:rsidP="008C40E9">
      <w:pPr>
        <w:jc w:val="both"/>
        <w:rPr>
          <w:rFonts w:ascii="Arial" w:hAnsi="Arial" w:cs="Arial"/>
          <w:sz w:val="20"/>
          <w:szCs w:val="20"/>
        </w:rPr>
      </w:pPr>
      <w:r w:rsidRPr="008C40E9">
        <w:rPr>
          <w:rFonts w:ascii="Arial" w:hAnsi="Arial" w:cs="Arial"/>
          <w:sz w:val="20"/>
          <w:szCs w:val="20"/>
        </w:rPr>
        <w:t>For further information, please contact:</w:t>
      </w:r>
    </w:p>
    <w:p w:rsidR="00755305" w:rsidRPr="008C40E9" w:rsidRDefault="00755305" w:rsidP="008C40E9">
      <w:pPr>
        <w:jc w:val="both"/>
        <w:rPr>
          <w:rFonts w:ascii="Arial" w:hAnsi="Arial" w:cs="Arial"/>
          <w:sz w:val="20"/>
          <w:szCs w:val="20"/>
        </w:rPr>
      </w:pPr>
    </w:p>
    <w:p w:rsidR="00755305" w:rsidRPr="008C40E9" w:rsidRDefault="00755305" w:rsidP="008C40E9">
      <w:pPr>
        <w:jc w:val="both"/>
        <w:rPr>
          <w:rFonts w:ascii="Arial" w:hAnsi="Arial" w:cs="Arial"/>
          <w:sz w:val="20"/>
          <w:szCs w:val="20"/>
        </w:rPr>
      </w:pPr>
      <w:r w:rsidRPr="008C40E9">
        <w:rPr>
          <w:rFonts w:ascii="Arial" w:hAnsi="Arial" w:cs="Arial"/>
          <w:sz w:val="20"/>
          <w:szCs w:val="20"/>
        </w:rPr>
        <w:t>C Robin Woodbine Parish: Chairman</w:t>
      </w:r>
    </w:p>
    <w:p w:rsidR="00755305" w:rsidRPr="008C40E9" w:rsidRDefault="00755305" w:rsidP="008C40E9">
      <w:pPr>
        <w:jc w:val="both"/>
        <w:rPr>
          <w:rFonts w:ascii="Arial" w:hAnsi="Arial" w:cs="Arial"/>
          <w:sz w:val="20"/>
          <w:szCs w:val="20"/>
        </w:rPr>
      </w:pPr>
      <w:r w:rsidRPr="008C40E9">
        <w:rPr>
          <w:rFonts w:ascii="Arial" w:hAnsi="Arial" w:cs="Arial"/>
          <w:sz w:val="20"/>
          <w:szCs w:val="20"/>
        </w:rPr>
        <w:t xml:space="preserve">El Oro </w:t>
      </w:r>
      <w:r w:rsidR="009B1052" w:rsidRPr="008C40E9">
        <w:rPr>
          <w:rFonts w:ascii="Arial" w:hAnsi="Arial" w:cs="Arial"/>
          <w:sz w:val="20"/>
          <w:szCs w:val="20"/>
        </w:rPr>
        <w:t>Ltd</w:t>
      </w:r>
    </w:p>
    <w:p w:rsidR="00755305" w:rsidRPr="008C40E9" w:rsidRDefault="00755305" w:rsidP="008C40E9">
      <w:pPr>
        <w:rPr>
          <w:rFonts w:ascii="Arial" w:hAnsi="Arial" w:cs="Arial"/>
          <w:sz w:val="20"/>
          <w:szCs w:val="20"/>
          <w:highlight w:val="green"/>
        </w:rPr>
        <w:sectPr w:rsidR="00755305" w:rsidRPr="008C40E9" w:rsidSect="0033646E">
          <w:pgSz w:w="12240" w:h="15840" w:code="1"/>
          <w:pgMar w:top="851" w:right="1134" w:bottom="851" w:left="1134" w:header="709" w:footer="709" w:gutter="0"/>
          <w:cols w:space="708"/>
          <w:docGrid w:linePitch="360"/>
        </w:sectPr>
      </w:pPr>
      <w:r w:rsidRPr="008C40E9">
        <w:rPr>
          <w:rFonts w:ascii="Arial" w:hAnsi="Arial" w:cs="Arial"/>
          <w:sz w:val="20"/>
          <w:szCs w:val="20"/>
        </w:rPr>
        <w:t>Tel: 020 7581 2782</w:t>
      </w:r>
    </w:p>
    <w:bookmarkEnd w:id="0"/>
    <w:p w:rsidR="009B1052" w:rsidRPr="008C40E9" w:rsidRDefault="009B1052" w:rsidP="008C40E9">
      <w:pPr>
        <w:jc w:val="both"/>
        <w:rPr>
          <w:rFonts w:ascii="Arial" w:hAnsi="Arial" w:cs="Arial"/>
          <w:sz w:val="20"/>
          <w:szCs w:val="20"/>
        </w:rPr>
      </w:pPr>
      <w:r w:rsidRPr="008C40E9">
        <w:rPr>
          <w:rFonts w:ascii="Arial" w:hAnsi="Arial" w:cs="Arial"/>
          <w:sz w:val="20"/>
          <w:szCs w:val="20"/>
        </w:rPr>
        <w:lastRenderedPageBreak/>
        <w:t>EL ORO LTD</w:t>
      </w:r>
    </w:p>
    <w:p w:rsidR="009B1052" w:rsidRPr="008C40E9" w:rsidRDefault="009B1052" w:rsidP="008C40E9">
      <w:pPr>
        <w:jc w:val="both"/>
        <w:rPr>
          <w:rFonts w:ascii="Arial" w:hAnsi="Arial" w:cs="Arial"/>
          <w:sz w:val="20"/>
          <w:szCs w:val="20"/>
        </w:rPr>
      </w:pPr>
    </w:p>
    <w:p w:rsidR="009B1052" w:rsidRPr="008C40E9" w:rsidRDefault="009B1052" w:rsidP="008C40E9">
      <w:pPr>
        <w:jc w:val="both"/>
        <w:rPr>
          <w:rFonts w:ascii="Arial" w:hAnsi="Arial" w:cs="Arial"/>
          <w:sz w:val="20"/>
          <w:szCs w:val="20"/>
        </w:rPr>
      </w:pPr>
      <w:r w:rsidRPr="008C40E9">
        <w:rPr>
          <w:rFonts w:ascii="Arial" w:hAnsi="Arial" w:cs="Arial"/>
          <w:sz w:val="20"/>
          <w:szCs w:val="20"/>
        </w:rPr>
        <w:t>CHAIRMAN'S STATEMENT</w:t>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p>
    <w:p w:rsidR="009B1052" w:rsidRPr="008C40E9" w:rsidRDefault="009B1052" w:rsidP="008C40E9">
      <w:pPr>
        <w:jc w:val="both"/>
        <w:rPr>
          <w:rFonts w:ascii="Arial" w:hAnsi="Arial" w:cs="Arial"/>
          <w:sz w:val="20"/>
          <w:szCs w:val="20"/>
        </w:rPr>
      </w:pPr>
      <w:r w:rsidRPr="008C40E9">
        <w:rPr>
          <w:rFonts w:ascii="Arial" w:hAnsi="Arial" w:cs="Arial"/>
          <w:sz w:val="20"/>
          <w:szCs w:val="20"/>
        </w:rPr>
        <w:t>Interim Report as at 31 December 201</w:t>
      </w:r>
      <w:r w:rsidR="00EA18F4" w:rsidRPr="008C40E9">
        <w:rPr>
          <w:rFonts w:ascii="Arial" w:hAnsi="Arial" w:cs="Arial"/>
          <w:sz w:val="20"/>
          <w:szCs w:val="20"/>
        </w:rPr>
        <w:t>2</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“The Group total profit before tax for the six month period ended 31 December 2012 was £748,290 (total loss before tax for six months to December 2011: £13,940,144). Group net assets at 31 December 2012 under IFRS, taking all assets at fair value were £74,399,259 (equal to 115.10 pence per share) as compared with £83,928,185 at 31 December 2011 (equal to 129.80 pence per share).”</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 </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We have clawed a modest profit from the past 6 months, as the year drew to a close, despite suffering the onslaught of declining Gold and commodity prices, whilst the prophets were crying ‘Peace, Peace’ and  the assault on the Euro was temporarily assuaged.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Serendipitous sales of such stocks as Discovery Metals, on the heels of a Chinese takeover offer that subsequently evaporated to the huge chagrin of it remaining shareholders, enabled us to avoid some of the more calamitous falls that have occurred in many of the mining stocks.  A weakening Palm Oil price tempered the progress of the producers, whose performance in some cases was exacerbated by torrential rain, whilst the gold miners and explorers set off on a downward spiral that has reached new lows in recent weeks. The property sector and House builders in contrast produced profits or price increases as a degree of stability returned to that sector, a trend that looks to continue as Government involvement increases.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Troy Resources’ price has fallen precipitously and somewhat faster than its producing peers since 31st December, recently announced a takeover offer for Azimuth Resources; a company with Gold resources in Guyana.  If this bid is successful, it will provide a useful addition to its flagship </w:t>
      </w:r>
      <w:proofErr w:type="spellStart"/>
      <w:r w:rsidRPr="008C40E9">
        <w:rPr>
          <w:rFonts w:ascii="Arial" w:hAnsi="Arial" w:cs="Arial"/>
          <w:sz w:val="20"/>
          <w:szCs w:val="20"/>
        </w:rPr>
        <w:t>Casposo</w:t>
      </w:r>
      <w:proofErr w:type="spellEnd"/>
      <w:r w:rsidRPr="008C40E9">
        <w:rPr>
          <w:rFonts w:ascii="Arial" w:hAnsi="Arial" w:cs="Arial"/>
          <w:sz w:val="20"/>
          <w:szCs w:val="20"/>
        </w:rPr>
        <w:t xml:space="preserve"> mine in Argentina, and a significant counter-weight to the more absurd policies adopted by that forlorn country’s histrionic leadership.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We anticipate that these delineated deposits will significantly enlarge and extend Troy’s future reserves; the highly capable team at Troy has a proven track record in mine building that will, barring extraneous complications, quickly have a new mine in production, replacing and exceeding the reduced output from Brazil.</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Amongst our other holdings, it is pleasing to see that </w:t>
      </w:r>
      <w:proofErr w:type="spellStart"/>
      <w:r w:rsidRPr="008C40E9">
        <w:rPr>
          <w:rFonts w:ascii="Arial" w:hAnsi="Arial" w:cs="Arial"/>
          <w:sz w:val="20"/>
          <w:szCs w:val="20"/>
        </w:rPr>
        <w:t>Amerisur</w:t>
      </w:r>
      <w:proofErr w:type="spellEnd"/>
      <w:r w:rsidRPr="008C40E9">
        <w:rPr>
          <w:rFonts w:ascii="Arial" w:hAnsi="Arial" w:cs="Arial"/>
          <w:sz w:val="20"/>
          <w:szCs w:val="20"/>
        </w:rPr>
        <w:t xml:space="preserve"> had already started its ascent, underpinned by the prospects of drilling success in Colombia, progress that we are pleased to report has accelerated in recent weeks and retains massive promise ahead.</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 </w:t>
      </w:r>
    </w:p>
    <w:p w:rsidR="008C40E9" w:rsidRPr="008C40E9" w:rsidRDefault="008C40E9" w:rsidP="008C40E9">
      <w:pPr>
        <w:jc w:val="both"/>
        <w:rPr>
          <w:rFonts w:ascii="Arial" w:hAnsi="Arial" w:cs="Arial"/>
          <w:sz w:val="20"/>
          <w:szCs w:val="20"/>
        </w:rPr>
      </w:pPr>
      <w:r w:rsidRPr="008C40E9">
        <w:rPr>
          <w:rFonts w:ascii="Arial" w:hAnsi="Arial" w:cs="Arial"/>
          <w:sz w:val="20"/>
          <w:szCs w:val="20"/>
        </w:rPr>
        <w:t>Our brewers have held steady after retreating towards the end of the year, with the recent abandonment of the Beer Levy duty rise a welcome relief. However, pressure from more lowly-taxed micro-breweries, now numbering in their thousands, makes beer sales against the international conglomerates ever more difficult.</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In recent weeks, Hurricane Exploration (Guernsey portfolio) has secured a drill rig to more accurately delineate its North Sea reserves; additionally, and as a consequence of a fund raising, we retain our belief that this will prove to be a significant asset, in friendly and now somewhat less-onerously taxed waters.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Our smaller holdings in such stars as Goodwin (Guernsey), Herald Investment Trust, (London portfolio) and Judge’s Scientific (Guernsey) have thrived, while in recent weeks, </w:t>
      </w:r>
      <w:proofErr w:type="spellStart"/>
      <w:r w:rsidRPr="008C40E9">
        <w:rPr>
          <w:rFonts w:ascii="Arial" w:hAnsi="Arial" w:cs="Arial"/>
          <w:sz w:val="20"/>
          <w:szCs w:val="20"/>
        </w:rPr>
        <w:t>Hasgrove</w:t>
      </w:r>
      <w:proofErr w:type="spellEnd"/>
      <w:r w:rsidRPr="008C40E9">
        <w:rPr>
          <w:rFonts w:ascii="Arial" w:hAnsi="Arial" w:cs="Arial"/>
          <w:sz w:val="20"/>
          <w:szCs w:val="20"/>
        </w:rPr>
        <w:t xml:space="preserve"> has announced the sale of a subsidiary for a sum exceeding its market capitalisation at that point in time.</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 </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Although the ever-dependable James Halstead (London) has retreated from its highs, it continues to retain a large cash balance, and in recent weeks has announced a further special dividend, whilst warning of slower growth.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Almost alone amongst the miners, Archipelago has maintained a price near its old highs, whilst increasing production and its reserves, as well as paying a dividend.</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proofErr w:type="spellStart"/>
      <w:r w:rsidRPr="008C40E9">
        <w:rPr>
          <w:rFonts w:ascii="Arial" w:hAnsi="Arial" w:cs="Arial"/>
          <w:sz w:val="20"/>
          <w:szCs w:val="20"/>
        </w:rPr>
        <w:t>Papillon</w:t>
      </w:r>
      <w:proofErr w:type="spellEnd"/>
      <w:r w:rsidRPr="008C40E9">
        <w:rPr>
          <w:rFonts w:ascii="Arial" w:hAnsi="Arial" w:cs="Arial"/>
          <w:sz w:val="20"/>
          <w:szCs w:val="20"/>
        </w:rPr>
        <w:t xml:space="preserve"> has retreated from the levels reached last year, but continues to grow its reserves in </w:t>
      </w:r>
      <w:proofErr w:type="spellStart"/>
      <w:r w:rsidRPr="008C40E9">
        <w:rPr>
          <w:rFonts w:ascii="Arial" w:hAnsi="Arial" w:cs="Arial"/>
          <w:sz w:val="20"/>
          <w:szCs w:val="20"/>
        </w:rPr>
        <w:t>Burkino</w:t>
      </w:r>
      <w:proofErr w:type="spellEnd"/>
      <w:r w:rsidRPr="008C40E9">
        <w:rPr>
          <w:rFonts w:ascii="Arial" w:hAnsi="Arial" w:cs="Arial"/>
          <w:sz w:val="20"/>
          <w:szCs w:val="20"/>
        </w:rPr>
        <w:t xml:space="preserve"> Faso, and we remain hopeful a mine will emerge.</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Sadly Simon Village has been shown the door at </w:t>
      </w:r>
      <w:proofErr w:type="spellStart"/>
      <w:r w:rsidRPr="008C40E9">
        <w:rPr>
          <w:rFonts w:ascii="Arial" w:hAnsi="Arial" w:cs="Arial"/>
          <w:sz w:val="20"/>
          <w:szCs w:val="20"/>
        </w:rPr>
        <w:t>Banro</w:t>
      </w:r>
      <w:proofErr w:type="spellEnd"/>
      <w:r w:rsidRPr="008C40E9">
        <w:rPr>
          <w:rFonts w:ascii="Arial" w:hAnsi="Arial" w:cs="Arial"/>
          <w:sz w:val="20"/>
          <w:szCs w:val="20"/>
        </w:rPr>
        <w:t xml:space="preserve">, where malicious press reports adversely affected the share price during the M3 uprising, but we would pay tribute to his and his team’s huge achievements in developing a second mine to add to </w:t>
      </w:r>
      <w:proofErr w:type="spellStart"/>
      <w:r w:rsidRPr="008C40E9">
        <w:rPr>
          <w:rFonts w:ascii="Arial" w:hAnsi="Arial" w:cs="Arial"/>
          <w:sz w:val="20"/>
          <w:szCs w:val="20"/>
        </w:rPr>
        <w:t>Twangisa</w:t>
      </w:r>
      <w:proofErr w:type="spellEnd"/>
      <w:r w:rsidRPr="008C40E9">
        <w:rPr>
          <w:rFonts w:ascii="Arial" w:hAnsi="Arial" w:cs="Arial"/>
          <w:sz w:val="20"/>
          <w:szCs w:val="20"/>
        </w:rPr>
        <w:t>, and hope his successors can build on those and lift the share price back to a better reflection of its production and reserves.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Excitingly in Australia, Sirius Resources has announced further discoveries at its </w:t>
      </w:r>
      <w:proofErr w:type="spellStart"/>
      <w:r w:rsidRPr="008C40E9">
        <w:rPr>
          <w:rFonts w:ascii="Arial" w:hAnsi="Arial" w:cs="Arial"/>
          <w:sz w:val="20"/>
          <w:szCs w:val="20"/>
        </w:rPr>
        <w:t>Youanmi</w:t>
      </w:r>
      <w:proofErr w:type="spellEnd"/>
      <w:r w:rsidRPr="008C40E9">
        <w:rPr>
          <w:rFonts w:ascii="Arial" w:hAnsi="Arial" w:cs="Arial"/>
          <w:sz w:val="20"/>
          <w:szCs w:val="20"/>
        </w:rPr>
        <w:t xml:space="preserve"> Nickel prospect in Western Australia, and in delineating a new nickel area, looks set to replicate the success which helped drive forward the Exploration Company Ltd and El Oro Mining and Exploration Co Ltd with its holdings built up in Western Mining under my father Major Michael Woodbine Parish in 1968. This established a powerful position for your predecessor companies in the emerging wealth of the West Australian </w:t>
      </w:r>
    </w:p>
    <w:p w:rsidR="008C40E9" w:rsidRPr="008C40E9" w:rsidRDefault="008C40E9" w:rsidP="008C40E9">
      <w:pPr>
        <w:jc w:val="both"/>
        <w:rPr>
          <w:rFonts w:ascii="Arial" w:hAnsi="Arial" w:cs="Arial"/>
          <w:sz w:val="20"/>
          <w:szCs w:val="20"/>
        </w:rPr>
      </w:pPr>
      <w:r w:rsidRPr="008C40E9">
        <w:rPr>
          <w:rFonts w:ascii="Arial" w:hAnsi="Arial" w:cs="Arial"/>
          <w:sz w:val="20"/>
          <w:szCs w:val="20"/>
        </w:rPr>
        <w:t>Mining sector, which remained until Western Mining, headed by another distinguished stroke of a successful Oxford VIII, was taken over by BHP Billiton in 2005 (although by then it had foolishly disposed of its nickel assets and was a shadow of its former self).</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At the time of writing, Gold has fallen below the $1,600 level, having failed to breach its old highs above $1,900; and is once again being written off by the unremitting onslaught from the gold </w:t>
      </w:r>
      <w:proofErr w:type="spellStart"/>
      <w:r w:rsidRPr="008C40E9">
        <w:rPr>
          <w:rFonts w:ascii="Arial" w:hAnsi="Arial" w:cs="Arial"/>
          <w:sz w:val="20"/>
          <w:szCs w:val="20"/>
        </w:rPr>
        <w:t>gloomsters</w:t>
      </w:r>
      <w:proofErr w:type="spellEnd"/>
      <w:r w:rsidRPr="008C40E9">
        <w:rPr>
          <w:rFonts w:ascii="Arial" w:hAnsi="Arial" w:cs="Arial"/>
          <w:sz w:val="20"/>
          <w:szCs w:val="20"/>
        </w:rPr>
        <w:t>.</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 </w:t>
      </w: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Gold producers have suffered even more severely, sending the ratio of miners to Bullion to the lowest level in many years, causing anguish in that sector as it is assailed by cost increases and greedy governments, hell bent on strangling the golden goose.  Ian Bristow of </w:t>
      </w:r>
      <w:proofErr w:type="spellStart"/>
      <w:r w:rsidRPr="008C40E9">
        <w:rPr>
          <w:rFonts w:ascii="Arial" w:hAnsi="Arial" w:cs="Arial"/>
          <w:sz w:val="20"/>
          <w:szCs w:val="20"/>
        </w:rPr>
        <w:t>Randgold</w:t>
      </w:r>
      <w:proofErr w:type="spellEnd"/>
      <w:r w:rsidRPr="008C40E9">
        <w:rPr>
          <w:rFonts w:ascii="Arial" w:hAnsi="Arial" w:cs="Arial"/>
          <w:sz w:val="20"/>
          <w:szCs w:val="20"/>
        </w:rPr>
        <w:t xml:space="preserve"> presenting to the Indaba conference in Cape Town on this very topic, highlighted how unattractive this has made investment South Africa, which now ranks 18th out of 18; also emphasising the deterioration in Mali amongst others, caused as a result of changes to its mining code.</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The despoliation and hostility of governments towards mining is sadly nothing new, as is evident from the determination of the British Government to abandon once and for all our huge reserves and destroy our once dominant coal mining sector; at the behest of those doyens of capitalism, the green and eco-lobbies, in Britain and more pertinently in the EU, so powerful in their electoral appeal that they have achieved one member of Parliament out of over 600.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The departure of so many leaders from mining and other sectors due to inopportune takeovers destroying value on a massive scale; reflects the make or break nature of capitalism, and also excess euphoria engendered by seemingly unstoppable price rises: Rio Tinto, Anglo American, Newcrest, BHP, Xstrata, Kinross and Barclays Bank amongst others, have all seen the leaders depart.  With all remunerated beyond the dreams of avarice, the voice of such eloquent and impressive individuals with a proven track record as Sir Michael </w:t>
      </w:r>
      <w:proofErr w:type="spellStart"/>
      <w:r w:rsidRPr="008C40E9">
        <w:rPr>
          <w:rFonts w:ascii="Arial" w:hAnsi="Arial" w:cs="Arial"/>
          <w:sz w:val="20"/>
          <w:szCs w:val="20"/>
        </w:rPr>
        <w:t>Darringow</w:t>
      </w:r>
      <w:proofErr w:type="spellEnd"/>
      <w:r w:rsidRPr="008C40E9">
        <w:rPr>
          <w:rFonts w:ascii="Arial" w:hAnsi="Arial" w:cs="Arial"/>
          <w:sz w:val="20"/>
          <w:szCs w:val="20"/>
        </w:rPr>
        <w:t>, formerly of Greggs, is all too seldom heard. The discrepancy between executive pay and that of the work floor has widened to an intolerable degree, abetted by often self-serving Remuneration committees.  It is strange but perhaps not surprising to see the former head of the FSA becoming Head of Compliance at Barclays Bank on a reputed bonus of £3 million, where compliance is now the only growth sector within the City, yet is synonymous with blocking business and putting every possible obstruction in its way.</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Robespierre, as the founder of the Ministry of National Safety, would be proud of his progeny spawning our own notorious Health and Safety Ministry, where ‘Hi </w:t>
      </w:r>
      <w:proofErr w:type="spellStart"/>
      <w:r w:rsidRPr="008C40E9">
        <w:rPr>
          <w:rFonts w:ascii="Arial" w:hAnsi="Arial" w:cs="Arial"/>
          <w:sz w:val="20"/>
          <w:szCs w:val="20"/>
        </w:rPr>
        <w:t>Viz</w:t>
      </w:r>
      <w:proofErr w:type="spellEnd"/>
      <w:r w:rsidRPr="008C40E9">
        <w:rPr>
          <w:rFonts w:ascii="Arial" w:hAnsi="Arial" w:cs="Arial"/>
          <w:sz w:val="20"/>
          <w:szCs w:val="20"/>
        </w:rPr>
        <w:t xml:space="preserve">’ has become a substitute for common sense, integrity and a smart appearance, with ‘Diversity’ and EU regulations used to excuse the anticipated arrival of perhaps another 50,000 or more newly admissible East Europeans, rather than citizens with requisite skills from non-EU countries.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Sadly Capitalism, so effective in eliminating failure and favouring and bolstering success, is fighting a losing battle against the tentacles of the Socialist State, which has become so deeply entrenched in the European and Whitehall psyche. The EU has now imposed a cap on bankers’ bonuses which further erodes the discipline of the market place.</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In the world of sport and show-business, an equally over-paid area but not so subject to state interference, a similar toll amongst leaders has been exacted, as former idols are shown to have feet of clay, or vials of blood transfusions: Lance Armstrong and Oscar </w:t>
      </w:r>
      <w:proofErr w:type="spellStart"/>
      <w:r w:rsidRPr="008C40E9">
        <w:rPr>
          <w:rFonts w:ascii="Arial" w:hAnsi="Arial" w:cs="Arial"/>
          <w:sz w:val="20"/>
          <w:szCs w:val="20"/>
        </w:rPr>
        <w:t>Pistorius</w:t>
      </w:r>
      <w:proofErr w:type="spellEnd"/>
      <w:r w:rsidRPr="008C40E9">
        <w:rPr>
          <w:rFonts w:ascii="Arial" w:hAnsi="Arial" w:cs="Arial"/>
          <w:sz w:val="20"/>
          <w:szCs w:val="20"/>
        </w:rPr>
        <w:t xml:space="preserve"> spring to mind.</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The tragedy for Britain and Europe is that this dearth of competence and integrity is echoed amongst our political leaders: the catastrophic clique of Cameron, Osborne and Maude abetted by May and Hague have hijacked the Conservative party, driven out its supporters and sold the country to a Republican Euro-</w:t>
      </w:r>
      <w:proofErr w:type="spellStart"/>
      <w:r w:rsidRPr="008C40E9">
        <w:rPr>
          <w:rFonts w:ascii="Arial" w:hAnsi="Arial" w:cs="Arial"/>
          <w:sz w:val="20"/>
          <w:szCs w:val="20"/>
        </w:rPr>
        <w:t>philic</w:t>
      </w:r>
      <w:proofErr w:type="spellEnd"/>
      <w:r w:rsidRPr="008C40E9">
        <w:rPr>
          <w:rFonts w:ascii="Arial" w:hAnsi="Arial" w:cs="Arial"/>
          <w:sz w:val="20"/>
          <w:szCs w:val="20"/>
        </w:rPr>
        <w:t xml:space="preserve"> elite; careless of its origins, history, traditions, and the wishes of its own people.  Any residual goodwill and fellow-school feeling towards Cameron have been definitively dissolved, as it becomes clear that he is an unmitigated desultory and dismal disaster.  A </w:t>
      </w:r>
      <w:proofErr w:type="gramStart"/>
      <w:r w:rsidRPr="008C40E9">
        <w:rPr>
          <w:rFonts w:ascii="Arial" w:hAnsi="Arial" w:cs="Arial"/>
          <w:sz w:val="20"/>
          <w:szCs w:val="20"/>
        </w:rPr>
        <w:t>leader</w:t>
      </w:r>
      <w:proofErr w:type="gramEnd"/>
      <w:r w:rsidRPr="008C40E9">
        <w:rPr>
          <w:rFonts w:ascii="Arial" w:hAnsi="Arial" w:cs="Arial"/>
          <w:sz w:val="20"/>
          <w:szCs w:val="20"/>
        </w:rPr>
        <w:t xml:space="preserve"> who voluntarily closes a significant section of his Country’s power supplies at the diktat of a Foreign Power, approaches the realms of treachery.  Moreover, the freedom of the Press has been threatened by a cosy deal between a group of C-list celebrities and the leader of the Opposition, as a result of an inquiry instituted solely at the suggestion of the Prime Minister. Meanwhile, the need for a 3rd Runway at Heathrow has been despatched to the second inquiry since that of 1968 was ignored; Frankfurt, one of London’s </w:t>
      </w:r>
      <w:r w:rsidRPr="008C40E9">
        <w:rPr>
          <w:rFonts w:ascii="Arial" w:hAnsi="Arial" w:cs="Arial"/>
          <w:sz w:val="20"/>
          <w:szCs w:val="20"/>
        </w:rPr>
        <w:lastRenderedPageBreak/>
        <w:t xml:space="preserve">foremost competitors, having within the last 10 years, confronted  and confounded its Greens, and constructed its third and fourth runways.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The folly of festooning our lovely land with those monstrous and grotesquely inefficient wind turbines, promoted by a former minister who now resides in a cell heated on fossil fuel at Her Majesty’s Expense, is beyond belief: that </w:t>
      </w:r>
      <w:proofErr w:type="spellStart"/>
      <w:r w:rsidRPr="008C40E9">
        <w:rPr>
          <w:rFonts w:ascii="Arial" w:hAnsi="Arial" w:cs="Arial"/>
          <w:sz w:val="20"/>
          <w:szCs w:val="20"/>
        </w:rPr>
        <w:t>Drax</w:t>
      </w:r>
      <w:proofErr w:type="spellEnd"/>
      <w:r w:rsidRPr="008C40E9">
        <w:rPr>
          <w:rFonts w:ascii="Arial" w:hAnsi="Arial" w:cs="Arial"/>
          <w:sz w:val="20"/>
          <w:szCs w:val="20"/>
        </w:rPr>
        <w:t>, built above a coal mine should have resorted to importing wood-chip from the United States, some 3,000 miles away, solely to seek the subsidy to enable it to survive, would only be worthy of parody if it did not sound the death knell for thousands of British citizens who will die from cold due to their inability to pay the exalted prices now demanded for ‘Carbon-free’ energy.</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Not content with this shameful record, ethanol is now to be added to Petrol, produced from corn and other agricultural products, as a result of EU legislation; further increasing the price of food and reducing the efficiency of car engines.  Meanwhile the head of the NHS, who presided over the deaths of thousands at Stafford General Hospital, remains in his place; and swathes of the countryside are to be released from planning permission, so that a new blitz of undesirable dwellings can blight our beautiful land.  All of this is to be financed by a Government lending scheme with all the hallmarks of 5 years earlier; inflating house prices back into the danger zone after a period when they appeared to be gently subsiding to a level at which they might  once again be affordable to the prudent saver.  This litany of misfortune is allied to the maintenance of an unsustainable level of taxes tugging an ever-greater portion of the population into its claw, and possibly even showing a decline in its overall receipts, certainly in the case of Spirits, as the population becomes more impoverished.  Even the admirable architect of reform of the benefits systems admits it is impossible to reduce its size, hamstrung as he is by the Liberal Democrat coalition.</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As a result of the Liberal Democrats’ failure to support Boundary Reform, the prospect of the elevation to the Premiership of Ed </w:t>
      </w:r>
      <w:proofErr w:type="spellStart"/>
      <w:r w:rsidRPr="008C40E9">
        <w:rPr>
          <w:rFonts w:ascii="Arial" w:hAnsi="Arial" w:cs="Arial"/>
          <w:sz w:val="20"/>
          <w:szCs w:val="20"/>
        </w:rPr>
        <w:t>Miliband</w:t>
      </w:r>
      <w:proofErr w:type="spellEnd"/>
      <w:r w:rsidRPr="008C40E9">
        <w:rPr>
          <w:rFonts w:ascii="Arial" w:hAnsi="Arial" w:cs="Arial"/>
          <w:sz w:val="20"/>
          <w:szCs w:val="20"/>
        </w:rPr>
        <w:t xml:space="preserve"> son of a Marxist Professor, and grandson of one of the henchmen of Stalin, who assisted that creature in the greatest destruction of wealth and humanity known to man, becomes ever more real: how grotesque the irony should the progeny of a Marxist succeed the son of a successful stockbroker.</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Proverbs xx1x v 18 ‘Without vision the people perish’:</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How tragic that so much bright hope should be lost like the lambs and ewes of Arran under a surfeit of snow; even in the United States, the failure to restrain spending or reduce the deficit, in similar circumstances yet on a more massive scale than within the United Kingdom, could suddenly threaten faith in the US dollar as a reserve Currency; if genuine concern as to the solvency of the States were to arise.  Within Europe, Cyprus has shown Chancellor Merkel’s admirable (from a German perspective) determination to sustain German hegemony, at the same time as tightening the noose around the neck of those societies and countries foolish enough to believe in the panacea and promise of the Euro: the grim reality now dawns that not only is Europe led by political pygmies, but also thieves who have no compunction in assaulting the savings of those with money in possibly solvent banks long after the crisis became apparent and urgent, and also having espoused such a policy as a template for further bail-outs across Europe.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Do not go Gentle into that good night,</w:t>
      </w:r>
    </w:p>
    <w:p w:rsidR="008C40E9" w:rsidRPr="008C40E9" w:rsidRDefault="008C40E9" w:rsidP="008C40E9">
      <w:pPr>
        <w:jc w:val="both"/>
        <w:rPr>
          <w:rFonts w:ascii="Arial" w:hAnsi="Arial" w:cs="Arial"/>
          <w:sz w:val="20"/>
          <w:szCs w:val="20"/>
        </w:rPr>
      </w:pPr>
      <w:r w:rsidRPr="008C40E9">
        <w:rPr>
          <w:rFonts w:ascii="Arial" w:hAnsi="Arial" w:cs="Arial"/>
          <w:sz w:val="20"/>
          <w:szCs w:val="20"/>
        </w:rPr>
        <w:t>Old age should burn and rave at the close of day,</w:t>
      </w:r>
    </w:p>
    <w:p w:rsidR="008C40E9" w:rsidRPr="008C40E9" w:rsidRDefault="008C40E9" w:rsidP="008C40E9">
      <w:pPr>
        <w:jc w:val="both"/>
        <w:rPr>
          <w:rFonts w:ascii="Arial" w:hAnsi="Arial" w:cs="Arial"/>
          <w:sz w:val="20"/>
          <w:szCs w:val="20"/>
        </w:rPr>
      </w:pPr>
      <w:r w:rsidRPr="008C40E9">
        <w:rPr>
          <w:rFonts w:ascii="Arial" w:hAnsi="Arial" w:cs="Arial"/>
          <w:sz w:val="20"/>
          <w:szCs w:val="20"/>
        </w:rPr>
        <w:t>Rage, rage against the dying of the light.</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Wild men who caught and sang the sun in flight,</w:t>
      </w:r>
    </w:p>
    <w:p w:rsidR="008C40E9" w:rsidRPr="008C40E9" w:rsidRDefault="008C40E9" w:rsidP="008C40E9">
      <w:pPr>
        <w:jc w:val="both"/>
        <w:rPr>
          <w:rFonts w:ascii="Arial" w:hAnsi="Arial" w:cs="Arial"/>
          <w:sz w:val="20"/>
          <w:szCs w:val="20"/>
        </w:rPr>
      </w:pPr>
      <w:r w:rsidRPr="008C40E9">
        <w:rPr>
          <w:rFonts w:ascii="Arial" w:hAnsi="Arial" w:cs="Arial"/>
          <w:sz w:val="20"/>
          <w:szCs w:val="20"/>
        </w:rPr>
        <w:t>And learn, too late, they grieved it on its way,</w:t>
      </w:r>
    </w:p>
    <w:p w:rsidR="008C40E9" w:rsidRPr="008C40E9" w:rsidRDefault="008C40E9" w:rsidP="008C40E9">
      <w:pPr>
        <w:jc w:val="both"/>
        <w:rPr>
          <w:rFonts w:ascii="Arial" w:hAnsi="Arial" w:cs="Arial"/>
          <w:sz w:val="20"/>
          <w:szCs w:val="20"/>
        </w:rPr>
      </w:pPr>
      <w:r w:rsidRPr="008C40E9">
        <w:rPr>
          <w:rFonts w:ascii="Arial" w:hAnsi="Arial" w:cs="Arial"/>
          <w:sz w:val="20"/>
          <w:szCs w:val="20"/>
        </w:rPr>
        <w:t>Do not go gentle into that good night.</w:t>
      </w:r>
    </w:p>
    <w:p w:rsidR="008C40E9" w:rsidRPr="008C40E9" w:rsidRDefault="008C40E9" w:rsidP="008C40E9">
      <w:pPr>
        <w:jc w:val="both"/>
        <w:rPr>
          <w:rFonts w:ascii="Arial" w:hAnsi="Arial" w:cs="Arial"/>
          <w:sz w:val="20"/>
          <w:szCs w:val="20"/>
        </w:rPr>
      </w:pPr>
      <w:r w:rsidRPr="008C40E9">
        <w:rPr>
          <w:rFonts w:ascii="Arial" w:hAnsi="Arial" w:cs="Arial"/>
          <w:sz w:val="20"/>
          <w:szCs w:val="20"/>
        </w:rPr>
        <w:t>Dylan Thomas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Oxford’s Boat Race Victory, even though on Easter Sunday, led by a combination of a coach and stern Pair arguably the finest in the history of the 159 year-old race, demonstrated what can be achieved by finesse, cohesion, meticulous planning and dogged determination: following on from last year’s unjust and desperate debacle, such an occasion to celebrate gives us hope for the future, even if it will be without many of those who tarnish public service at present by their ineptitude, lack of vision or adherence to misguided and even malicious policies.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It is now painfully obvious that every prognosis and proposal presented by those favouring the Euro was complete piffle, holding within it pure poison of the most lethal kind.</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lastRenderedPageBreak/>
        <w:t>Whilst Christians ponder the Crucifixion and rejoice in the Resurrection of our Lord, the citizens of Cyprus and Greece and mainly those countries south of the Olive Line can have no such expectation of new Life or Hope.</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‘Truth, like Gold, is to be obtained not by its growth, but by washing away from it all that is not gold’</w:t>
      </w:r>
    </w:p>
    <w:p w:rsidR="008C40E9" w:rsidRPr="008C40E9" w:rsidRDefault="008C40E9" w:rsidP="008C40E9">
      <w:pPr>
        <w:jc w:val="both"/>
        <w:rPr>
          <w:rFonts w:ascii="Arial" w:hAnsi="Arial" w:cs="Arial"/>
          <w:sz w:val="20"/>
          <w:szCs w:val="20"/>
        </w:rPr>
      </w:pPr>
      <w:r w:rsidRPr="008C40E9">
        <w:rPr>
          <w:rFonts w:ascii="Arial" w:hAnsi="Arial" w:cs="Arial"/>
          <w:sz w:val="20"/>
          <w:szCs w:val="20"/>
        </w:rPr>
        <w:t>Leo N Tolstoy</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The time for Truth is impinging urgently upon us: about the state of the economy, the need to cut benefits’ spending and provide in a realistic way for the Pensions of a longer-lived population; more particularly also, for our role in Europe, and the Euro’s role in Southern Europe.  Can leadership emerge from somewhere beyond YouTube, Face Book and Twitter culture?</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It is especially poignant during this dearth of leaders to learn of the loss of Lady Thatcher, the supreme Patriot and shining beacon of Britain’s revival over the last 30 years. In mourning her death it would be well to recall some of her words, and for them to be engraved on the hearts of our government leaders. ‘I cannot bear Britain to be in decline.’ ‘There can be no liberty unless there is economic liberty.’ ‘I come to office </w:t>
      </w:r>
      <w:proofErr w:type="gramStart"/>
      <w:r w:rsidRPr="008C40E9">
        <w:rPr>
          <w:rFonts w:ascii="Arial" w:hAnsi="Arial" w:cs="Arial"/>
          <w:sz w:val="20"/>
          <w:szCs w:val="20"/>
        </w:rPr>
        <w:t>with one deliberate intent</w:t>
      </w:r>
      <w:proofErr w:type="gramEnd"/>
      <w:r w:rsidRPr="008C40E9">
        <w:rPr>
          <w:rFonts w:ascii="Arial" w:hAnsi="Arial" w:cs="Arial"/>
          <w:sz w:val="20"/>
          <w:szCs w:val="20"/>
        </w:rPr>
        <w:t>: to change Britain from a dependent to a self-reliant society; from a give-it-to-me to a do-it-yourself-nation, a get-up and go, instead of a sit back and wait-for-it-Britain.’ (1984)</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How we long for her steadfast gaze and underlying belief to be replicated in a new guise amongst us today.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In the meantime, we maintain our belief that the efficacy of Gold will outlive its detractors and the politicians who have moved us towards the abyss.  Our investments remain widely spread, across a range of sectors, and should respond well to any economic improvement, or a change of sentiment towards the Gold sector. Whilst that may well not be rapid, it is encouraging to see the speed with which the primroses are emerging, after such a prolonged and painful winter: there are plenty of primroses within the portfolio which we expect to see blossom over the coming years.</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I append my thanks as always to Steven, Abbie, Nick, Melwin and Jessica in keeping the home fires burning, and calming their Chairman after a verbal and almost physical assault from a spiv in an Aston Martin. We are humbled by the example of the late Lord </w:t>
      </w:r>
      <w:proofErr w:type="spellStart"/>
      <w:r w:rsidRPr="008C40E9">
        <w:rPr>
          <w:rFonts w:ascii="Arial" w:hAnsi="Arial" w:cs="Arial"/>
          <w:sz w:val="20"/>
          <w:szCs w:val="20"/>
        </w:rPr>
        <w:t>Thurlow</w:t>
      </w:r>
      <w:proofErr w:type="spellEnd"/>
      <w:r w:rsidRPr="008C40E9">
        <w:rPr>
          <w:rFonts w:ascii="Arial" w:hAnsi="Arial" w:cs="Arial"/>
          <w:sz w:val="20"/>
          <w:szCs w:val="20"/>
        </w:rPr>
        <w:t xml:space="preserve">, whose funeral in </w:t>
      </w:r>
      <w:proofErr w:type="spellStart"/>
      <w:r w:rsidRPr="008C40E9">
        <w:rPr>
          <w:rFonts w:ascii="Arial" w:hAnsi="Arial" w:cs="Arial"/>
          <w:sz w:val="20"/>
          <w:szCs w:val="20"/>
        </w:rPr>
        <w:t>Mapledurham</w:t>
      </w:r>
      <w:proofErr w:type="spellEnd"/>
      <w:r w:rsidRPr="008C40E9">
        <w:rPr>
          <w:rFonts w:ascii="Arial" w:hAnsi="Arial" w:cs="Arial"/>
          <w:sz w:val="20"/>
          <w:szCs w:val="20"/>
        </w:rPr>
        <w:t xml:space="preserve"> Church coincided with the death of Lady Thatcher. His 101 year quest for enlightenment embraced above all the search for tolerance in the world. We are mindful of this maxim, where neither the confines nor the manners of Cheval Place are what they were. Meanwhile, the continuous cacophony of the Jack hammer burrows ever deeper into the rivers running beneath our streets, beating remorselessly into our brains. </w:t>
      </w:r>
    </w:p>
    <w:p w:rsidR="008C40E9" w:rsidRPr="008C40E9" w:rsidRDefault="008C40E9" w:rsidP="008C40E9">
      <w:pPr>
        <w:jc w:val="both"/>
        <w:rPr>
          <w:rFonts w:ascii="Arial" w:hAnsi="Arial" w:cs="Arial"/>
          <w:sz w:val="20"/>
          <w:szCs w:val="20"/>
        </w:rPr>
      </w:pPr>
    </w:p>
    <w:p w:rsidR="008C40E9" w:rsidRPr="008C40E9" w:rsidRDefault="008C40E9" w:rsidP="008C40E9">
      <w:pPr>
        <w:jc w:val="both"/>
        <w:rPr>
          <w:rFonts w:ascii="Arial" w:hAnsi="Arial" w:cs="Arial"/>
          <w:sz w:val="20"/>
          <w:szCs w:val="20"/>
        </w:rPr>
      </w:pPr>
      <w:r w:rsidRPr="008C40E9">
        <w:rPr>
          <w:rFonts w:ascii="Arial" w:hAnsi="Arial" w:cs="Arial"/>
          <w:sz w:val="20"/>
          <w:szCs w:val="20"/>
        </w:rPr>
        <w:t xml:space="preserve">Nevertheless our </w:t>
      </w:r>
      <w:proofErr w:type="gramStart"/>
      <w:r w:rsidRPr="008C40E9">
        <w:rPr>
          <w:rFonts w:ascii="Arial" w:hAnsi="Arial" w:cs="Arial"/>
          <w:sz w:val="20"/>
          <w:szCs w:val="20"/>
        </w:rPr>
        <w:t>endeavours to serve our shareholders remain as determined as ever, and is</w:t>
      </w:r>
      <w:proofErr w:type="gramEnd"/>
      <w:r w:rsidRPr="008C40E9">
        <w:rPr>
          <w:rFonts w:ascii="Arial" w:hAnsi="Arial" w:cs="Arial"/>
          <w:sz w:val="20"/>
          <w:szCs w:val="20"/>
        </w:rPr>
        <w:t xml:space="preserve"> enhanced by the pleasure of working with trustworthy and patient people. I append my appreciation to all my fellow directors and advisers.</w:t>
      </w:r>
    </w:p>
    <w:p w:rsidR="009B1052" w:rsidRPr="008C40E9" w:rsidRDefault="009B1052" w:rsidP="008C40E9">
      <w:pPr>
        <w:tabs>
          <w:tab w:val="left" w:pos="862"/>
          <w:tab w:val="left" w:pos="1616"/>
          <w:tab w:val="left" w:pos="2370"/>
          <w:tab w:val="left" w:pos="3124"/>
          <w:tab w:val="left" w:pos="7340"/>
          <w:tab w:val="left" w:pos="8696"/>
          <w:tab w:val="left" w:pos="9552"/>
          <w:tab w:val="left" w:pos="10408"/>
          <w:tab w:val="left" w:pos="11504"/>
        </w:tabs>
        <w:ind w:left="108"/>
        <w:jc w:val="both"/>
        <w:rPr>
          <w:rFonts w:ascii="Arial" w:hAnsi="Arial" w:cs="Arial"/>
          <w:sz w:val="20"/>
          <w:szCs w:val="20"/>
        </w:rPr>
      </w:pP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p>
    <w:p w:rsidR="0040236B" w:rsidRPr="008C40E9" w:rsidRDefault="0040236B" w:rsidP="008C40E9">
      <w:pPr>
        <w:autoSpaceDE w:val="0"/>
        <w:autoSpaceDN w:val="0"/>
        <w:adjustRightInd w:val="0"/>
        <w:jc w:val="both"/>
        <w:rPr>
          <w:rFonts w:ascii="Arial" w:hAnsi="Arial" w:cs="Arial"/>
          <w:sz w:val="20"/>
          <w:szCs w:val="20"/>
        </w:rPr>
      </w:pPr>
      <w:r w:rsidRPr="008C40E9">
        <w:rPr>
          <w:rFonts w:ascii="Arial" w:hAnsi="Arial" w:cs="Arial"/>
          <w:sz w:val="20"/>
          <w:szCs w:val="20"/>
        </w:rPr>
        <w:t>Robin Woodbine Parish</w:t>
      </w:r>
    </w:p>
    <w:p w:rsidR="00ED42BC" w:rsidRDefault="0040236B" w:rsidP="00ED42BC">
      <w:pPr>
        <w:autoSpaceDE w:val="0"/>
        <w:autoSpaceDN w:val="0"/>
        <w:adjustRightInd w:val="0"/>
        <w:jc w:val="both"/>
        <w:rPr>
          <w:rFonts w:ascii="Arial" w:hAnsi="Arial" w:cs="Arial"/>
          <w:sz w:val="20"/>
          <w:szCs w:val="20"/>
        </w:rPr>
      </w:pPr>
      <w:r w:rsidRPr="008C40E9">
        <w:rPr>
          <w:rFonts w:ascii="Arial" w:hAnsi="Arial" w:cs="Arial"/>
          <w:sz w:val="20"/>
          <w:szCs w:val="20"/>
        </w:rPr>
        <w:t>1</w:t>
      </w:r>
      <w:r w:rsidR="00EA18F4" w:rsidRPr="008C40E9">
        <w:rPr>
          <w:rFonts w:ascii="Arial" w:hAnsi="Arial" w:cs="Arial"/>
          <w:sz w:val="20"/>
          <w:szCs w:val="20"/>
        </w:rPr>
        <w:t>1</w:t>
      </w:r>
      <w:r w:rsidRPr="008C40E9">
        <w:rPr>
          <w:rFonts w:ascii="Arial" w:hAnsi="Arial" w:cs="Arial"/>
          <w:sz w:val="20"/>
          <w:szCs w:val="20"/>
        </w:rPr>
        <w:t xml:space="preserve"> April 201</w:t>
      </w:r>
      <w:r w:rsidR="00EA18F4" w:rsidRPr="008C40E9">
        <w:rPr>
          <w:rFonts w:ascii="Arial" w:hAnsi="Arial" w:cs="Arial"/>
          <w:sz w:val="20"/>
          <w:szCs w:val="20"/>
        </w:rPr>
        <w:t>3</w:t>
      </w:r>
    </w:p>
    <w:p w:rsidR="00ED42BC" w:rsidRDefault="00ED42BC" w:rsidP="00ED42BC">
      <w:pPr>
        <w:autoSpaceDE w:val="0"/>
        <w:autoSpaceDN w:val="0"/>
        <w:adjustRightInd w:val="0"/>
        <w:jc w:val="both"/>
        <w:rPr>
          <w:rFonts w:ascii="Arial" w:hAnsi="Arial" w:cs="Arial"/>
          <w:sz w:val="20"/>
          <w:szCs w:val="20"/>
        </w:rPr>
      </w:pPr>
    </w:p>
    <w:p w:rsidR="00ED42BC" w:rsidRDefault="00ED42BC" w:rsidP="00ED42BC">
      <w:pPr>
        <w:autoSpaceDE w:val="0"/>
        <w:autoSpaceDN w:val="0"/>
        <w:adjustRightInd w:val="0"/>
        <w:jc w:val="both"/>
        <w:rPr>
          <w:rFonts w:ascii="Arial" w:hAnsi="Arial" w:cs="Arial"/>
          <w:sz w:val="20"/>
          <w:szCs w:val="20"/>
        </w:rPr>
      </w:pPr>
    </w:p>
    <w:p w:rsidR="00ED42BC" w:rsidRDefault="00ED42BC" w:rsidP="00ED42BC">
      <w:pPr>
        <w:autoSpaceDE w:val="0"/>
        <w:autoSpaceDN w:val="0"/>
        <w:adjustRightInd w:val="0"/>
        <w:jc w:val="both"/>
        <w:rPr>
          <w:rFonts w:ascii="Arial" w:hAnsi="Arial" w:cs="Arial"/>
          <w:sz w:val="20"/>
          <w:szCs w:val="20"/>
        </w:rPr>
      </w:pPr>
    </w:p>
    <w:p w:rsidR="00ED42BC" w:rsidRDefault="00ED42BC" w:rsidP="00ED42BC">
      <w:pPr>
        <w:autoSpaceDE w:val="0"/>
        <w:autoSpaceDN w:val="0"/>
        <w:adjustRightInd w:val="0"/>
        <w:jc w:val="both"/>
        <w:rPr>
          <w:rFonts w:ascii="Arial" w:hAnsi="Arial" w:cs="Arial"/>
          <w:sz w:val="20"/>
          <w:szCs w:val="20"/>
        </w:rPr>
      </w:pPr>
    </w:p>
    <w:p w:rsidR="009B1052" w:rsidRDefault="009B1052" w:rsidP="008C40E9">
      <w:pPr>
        <w:jc w:val="both"/>
        <w:rPr>
          <w:rFonts w:ascii="Arial" w:hAnsi="Arial" w:cs="Arial"/>
          <w:sz w:val="20"/>
          <w:szCs w:val="20"/>
        </w:rPr>
      </w:pPr>
    </w:p>
    <w:p w:rsidR="00ED42BC" w:rsidRPr="008C40E9" w:rsidRDefault="00ED42BC" w:rsidP="008C40E9">
      <w:pPr>
        <w:jc w:val="both"/>
        <w:rPr>
          <w:rFonts w:ascii="Arial" w:hAnsi="Arial" w:cs="Arial"/>
          <w:sz w:val="20"/>
          <w:szCs w:val="20"/>
        </w:rPr>
      </w:pPr>
    </w:p>
    <w:p w:rsidR="006776DE" w:rsidRPr="008C40E9" w:rsidRDefault="006776DE" w:rsidP="008C40E9">
      <w:pPr>
        <w:jc w:val="both"/>
        <w:rPr>
          <w:rFonts w:ascii="Arial" w:hAnsi="Arial" w:cs="Arial"/>
          <w:sz w:val="20"/>
          <w:szCs w:val="20"/>
        </w:rPr>
      </w:pPr>
      <w:r w:rsidRPr="008C40E9">
        <w:rPr>
          <w:rFonts w:ascii="Arial" w:hAnsi="Arial" w:cs="Arial"/>
          <w:sz w:val="20"/>
          <w:szCs w:val="20"/>
        </w:rPr>
        <w:t>CONSOLIDATED INCOME STATEMENT</w:t>
      </w:r>
    </w:p>
    <w:p w:rsidR="006776DE" w:rsidRPr="008C40E9" w:rsidRDefault="006776DE" w:rsidP="008C40E9">
      <w:pPr>
        <w:jc w:val="both"/>
        <w:rPr>
          <w:rFonts w:ascii="Arial" w:hAnsi="Arial" w:cs="Arial"/>
          <w:sz w:val="20"/>
          <w:szCs w:val="20"/>
        </w:rPr>
      </w:pPr>
      <w:r w:rsidRPr="008C40E9">
        <w:rPr>
          <w:rFonts w:ascii="Arial" w:hAnsi="Arial" w:cs="Arial"/>
          <w:sz w:val="20"/>
          <w:szCs w:val="20"/>
        </w:rPr>
        <w:t>(Unaudited)</w:t>
      </w:r>
    </w:p>
    <w:p w:rsidR="006776DE" w:rsidRPr="008C40E9" w:rsidRDefault="006776DE" w:rsidP="008C40E9">
      <w:pPr>
        <w:jc w:val="both"/>
        <w:rPr>
          <w:rFonts w:ascii="Arial" w:hAnsi="Arial" w:cs="Arial"/>
          <w:sz w:val="20"/>
          <w:szCs w:val="20"/>
        </w:rPr>
      </w:pPr>
      <w:proofErr w:type="gramStart"/>
      <w:r w:rsidRPr="008C40E9">
        <w:rPr>
          <w:rFonts w:ascii="Arial" w:hAnsi="Arial" w:cs="Arial"/>
          <w:sz w:val="20"/>
          <w:szCs w:val="20"/>
        </w:rPr>
        <w:t>for</w:t>
      </w:r>
      <w:proofErr w:type="gramEnd"/>
      <w:r w:rsidRPr="008C40E9">
        <w:rPr>
          <w:rFonts w:ascii="Arial" w:hAnsi="Arial" w:cs="Arial"/>
          <w:sz w:val="20"/>
          <w:szCs w:val="20"/>
        </w:rPr>
        <w:t xml:space="preserve"> the six months ended 31 December</w:t>
      </w:r>
    </w:p>
    <w:tbl>
      <w:tblPr>
        <w:tblW w:w="9923" w:type="dxa"/>
        <w:tblInd w:w="108" w:type="dxa"/>
        <w:tblLook w:val="0000"/>
      </w:tblPr>
      <w:tblGrid>
        <w:gridCol w:w="5954"/>
        <w:gridCol w:w="1843"/>
        <w:gridCol w:w="283"/>
        <w:gridCol w:w="1843"/>
      </w:tblGrid>
      <w:tr w:rsidR="00EA18F4" w:rsidRPr="008C40E9" w:rsidTr="00EA18F4">
        <w:trPr>
          <w:trHeight w:val="2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p>
        </w:tc>
        <w:tc>
          <w:tcPr>
            <w:tcW w:w="184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b/>
                <w:bCs/>
                <w:sz w:val="20"/>
                <w:szCs w:val="20"/>
              </w:rPr>
            </w:pPr>
            <w:r w:rsidRPr="008C40E9">
              <w:rPr>
                <w:rFonts w:ascii="Arial" w:hAnsi="Arial" w:cs="Arial"/>
                <w:b/>
                <w:bCs/>
                <w:sz w:val="20"/>
                <w:szCs w:val="20"/>
              </w:rPr>
              <w:t>31 December 2012</w:t>
            </w:r>
          </w:p>
        </w:tc>
        <w:tc>
          <w:tcPr>
            <w:tcW w:w="28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31 December 2011</w:t>
            </w:r>
          </w:p>
        </w:tc>
      </w:tr>
      <w:tr w:rsidR="00EA18F4" w:rsidRPr="008C40E9" w:rsidTr="00EA18F4">
        <w:trPr>
          <w:trHeight w:val="2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b/>
                <w:sz w:val="20"/>
                <w:szCs w:val="20"/>
              </w:rPr>
            </w:pPr>
          </w:p>
        </w:tc>
        <w:tc>
          <w:tcPr>
            <w:tcW w:w="184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b/>
                <w:bCs/>
                <w:sz w:val="20"/>
                <w:szCs w:val="20"/>
              </w:rPr>
            </w:pPr>
            <w:r w:rsidRPr="008C40E9">
              <w:rPr>
                <w:rFonts w:ascii="Arial" w:hAnsi="Arial" w:cs="Arial"/>
                <w:b/>
                <w:bCs/>
                <w:sz w:val="20"/>
                <w:szCs w:val="20"/>
              </w:rPr>
              <w:t xml:space="preserve">£    </w:t>
            </w:r>
          </w:p>
        </w:tc>
        <w:tc>
          <w:tcPr>
            <w:tcW w:w="28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 xml:space="preserve">£    </w:t>
            </w: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t>Revenue</w:t>
            </w:r>
          </w:p>
        </w:tc>
        <w:tc>
          <w:tcPr>
            <w:tcW w:w="184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b/>
                <w:bCs/>
                <w:sz w:val="20"/>
                <w:szCs w:val="20"/>
                <w:highlight w:val="yellow"/>
              </w:rPr>
            </w:pP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highlight w:val="yellow"/>
              </w:rPr>
            </w:pP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t xml:space="preserve">Net </w:t>
            </w:r>
            <w:r w:rsidR="00B56742" w:rsidRPr="008C40E9">
              <w:rPr>
                <w:rFonts w:ascii="Arial" w:hAnsi="Arial" w:cs="Arial"/>
                <w:b/>
                <w:bCs/>
                <w:sz w:val="20"/>
                <w:szCs w:val="20"/>
              </w:rPr>
              <w:t xml:space="preserve">gains / (losses) </w:t>
            </w:r>
            <w:r w:rsidRPr="008C40E9">
              <w:rPr>
                <w:rFonts w:ascii="Arial" w:hAnsi="Arial" w:cs="Arial"/>
                <w:b/>
                <w:bCs/>
                <w:sz w:val="20"/>
                <w:szCs w:val="20"/>
              </w:rPr>
              <w:t>on investments</w:t>
            </w:r>
          </w:p>
        </w:tc>
        <w:tc>
          <w:tcPr>
            <w:tcW w:w="1843" w:type="dxa"/>
            <w:tcBorders>
              <w:top w:val="nil"/>
              <w:left w:val="nil"/>
              <w:bottom w:val="nil"/>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2,296,643</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(12,005,391)</w:t>
            </w: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t>Expenses</w:t>
            </w:r>
          </w:p>
        </w:tc>
        <w:tc>
          <w:tcPr>
            <w:tcW w:w="1843" w:type="dxa"/>
            <w:tcBorders>
              <w:top w:val="nil"/>
              <w:left w:val="nil"/>
              <w:bottom w:val="single" w:sz="4" w:space="0" w:color="auto"/>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(857,064)</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single" w:sz="4" w:space="0" w:color="auto"/>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(1,215,504)</w:t>
            </w:r>
          </w:p>
        </w:tc>
      </w:tr>
      <w:tr w:rsidR="00EA18F4" w:rsidRPr="008C40E9" w:rsidTr="00EA18F4">
        <w:trPr>
          <w:trHeight w:val="405"/>
        </w:trPr>
        <w:tc>
          <w:tcPr>
            <w:tcW w:w="5954" w:type="dxa"/>
            <w:tcBorders>
              <w:top w:val="nil"/>
              <w:left w:val="nil"/>
              <w:bottom w:val="nil"/>
              <w:right w:val="nil"/>
            </w:tcBorders>
            <w:shd w:val="clear" w:color="auto" w:fill="auto"/>
            <w:noWrap/>
            <w:vAlign w:val="center"/>
          </w:tcPr>
          <w:p w:rsidR="00EA18F4" w:rsidRPr="008C40E9" w:rsidRDefault="00B56742" w:rsidP="008C40E9">
            <w:pPr>
              <w:jc w:val="both"/>
              <w:rPr>
                <w:rFonts w:ascii="Arial" w:hAnsi="Arial" w:cs="Arial"/>
                <w:b/>
                <w:bCs/>
                <w:sz w:val="20"/>
                <w:szCs w:val="20"/>
              </w:rPr>
            </w:pPr>
            <w:r w:rsidRPr="008C40E9">
              <w:rPr>
                <w:rFonts w:ascii="Arial" w:hAnsi="Arial" w:cs="Arial"/>
                <w:b/>
                <w:bCs/>
                <w:sz w:val="20"/>
                <w:szCs w:val="20"/>
              </w:rPr>
              <w:t xml:space="preserve">Profit / (loss) </w:t>
            </w:r>
            <w:r w:rsidR="00EA18F4" w:rsidRPr="008C40E9">
              <w:rPr>
                <w:rFonts w:ascii="Arial" w:hAnsi="Arial" w:cs="Arial"/>
                <w:b/>
                <w:bCs/>
                <w:sz w:val="20"/>
                <w:szCs w:val="20"/>
              </w:rPr>
              <w:t>before finance costs and taxation</w:t>
            </w:r>
          </w:p>
        </w:tc>
        <w:tc>
          <w:tcPr>
            <w:tcW w:w="1843" w:type="dxa"/>
            <w:tcBorders>
              <w:top w:val="nil"/>
              <w:left w:val="nil"/>
              <w:bottom w:val="nil"/>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1,439,579</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(13,220,895)</w:t>
            </w:r>
          </w:p>
        </w:tc>
      </w:tr>
      <w:tr w:rsidR="00EA18F4" w:rsidRPr="008C40E9" w:rsidTr="00EA18F4">
        <w:trPr>
          <w:trHeight w:val="5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lastRenderedPageBreak/>
              <w:t>Finance costs:</w:t>
            </w:r>
          </w:p>
        </w:tc>
        <w:tc>
          <w:tcPr>
            <w:tcW w:w="184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b/>
                <w:bCs/>
                <w:sz w:val="20"/>
                <w:szCs w:val="20"/>
                <w:highlight w:val="yellow"/>
              </w:rPr>
            </w:pP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highlight w:val="yellow"/>
              </w:rPr>
            </w:pP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sz w:val="20"/>
                <w:szCs w:val="20"/>
              </w:rPr>
            </w:pPr>
            <w:r w:rsidRPr="008C40E9">
              <w:rPr>
                <w:rFonts w:ascii="Arial" w:hAnsi="Arial" w:cs="Arial"/>
                <w:sz w:val="20"/>
                <w:szCs w:val="20"/>
              </w:rPr>
              <w:t>Interest</w:t>
            </w:r>
          </w:p>
        </w:tc>
        <w:tc>
          <w:tcPr>
            <w:tcW w:w="1843" w:type="dxa"/>
            <w:tcBorders>
              <w:top w:val="nil"/>
              <w:left w:val="nil"/>
              <w:bottom w:val="nil"/>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(691,289)</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(719,249)</w:t>
            </w: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b/>
                <w:bCs/>
                <w:sz w:val="20"/>
                <w:szCs w:val="20"/>
              </w:rPr>
            </w:pPr>
          </w:p>
        </w:tc>
        <w:tc>
          <w:tcPr>
            <w:tcW w:w="1843" w:type="dxa"/>
            <w:tcBorders>
              <w:top w:val="single" w:sz="4" w:space="0" w:color="auto"/>
              <w:left w:val="nil"/>
              <w:bottom w:val="single" w:sz="4" w:space="0" w:color="auto"/>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(691,289)</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single" w:sz="4" w:space="0" w:color="auto"/>
              <w:left w:val="nil"/>
              <w:bottom w:val="single" w:sz="4" w:space="0" w:color="auto"/>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(719,249)</w:t>
            </w:r>
          </w:p>
        </w:tc>
      </w:tr>
      <w:tr w:rsidR="00EA18F4" w:rsidRPr="008C40E9" w:rsidTr="00EA18F4">
        <w:trPr>
          <w:trHeight w:val="480"/>
        </w:trPr>
        <w:tc>
          <w:tcPr>
            <w:tcW w:w="5954" w:type="dxa"/>
            <w:tcBorders>
              <w:top w:val="nil"/>
              <w:left w:val="nil"/>
              <w:bottom w:val="nil"/>
              <w:right w:val="nil"/>
            </w:tcBorders>
            <w:shd w:val="clear" w:color="auto" w:fill="auto"/>
            <w:noWrap/>
            <w:vAlign w:val="center"/>
          </w:tcPr>
          <w:p w:rsidR="00EA18F4" w:rsidRPr="008C40E9" w:rsidRDefault="00B56742" w:rsidP="008C40E9">
            <w:pPr>
              <w:jc w:val="both"/>
              <w:rPr>
                <w:rFonts w:ascii="Arial" w:hAnsi="Arial" w:cs="Arial"/>
                <w:b/>
                <w:bCs/>
                <w:sz w:val="20"/>
                <w:szCs w:val="20"/>
              </w:rPr>
            </w:pPr>
            <w:r w:rsidRPr="008C40E9">
              <w:rPr>
                <w:rFonts w:ascii="Arial" w:hAnsi="Arial" w:cs="Arial"/>
                <w:b/>
                <w:bCs/>
                <w:sz w:val="20"/>
                <w:szCs w:val="20"/>
              </w:rPr>
              <w:t xml:space="preserve">Profit / (loss) </w:t>
            </w:r>
            <w:r w:rsidR="00EA18F4" w:rsidRPr="008C40E9">
              <w:rPr>
                <w:rFonts w:ascii="Arial" w:hAnsi="Arial" w:cs="Arial"/>
                <w:b/>
                <w:bCs/>
                <w:sz w:val="20"/>
                <w:szCs w:val="20"/>
              </w:rPr>
              <w:t>before taxation</w:t>
            </w:r>
          </w:p>
        </w:tc>
        <w:tc>
          <w:tcPr>
            <w:tcW w:w="1843" w:type="dxa"/>
            <w:tcBorders>
              <w:top w:val="nil"/>
              <w:left w:val="nil"/>
              <w:bottom w:val="nil"/>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748,290</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(13,940,144)</w:t>
            </w:r>
          </w:p>
        </w:tc>
      </w:tr>
      <w:tr w:rsidR="00EA18F4" w:rsidRPr="008C40E9" w:rsidTr="00EA18F4">
        <w:trPr>
          <w:trHeight w:val="345"/>
        </w:trPr>
        <w:tc>
          <w:tcPr>
            <w:tcW w:w="5954" w:type="dxa"/>
            <w:tcBorders>
              <w:top w:val="nil"/>
              <w:left w:val="nil"/>
              <w:bottom w:val="nil"/>
              <w:right w:val="nil"/>
            </w:tcBorders>
            <w:shd w:val="clear" w:color="auto" w:fill="auto"/>
            <w:noWrap/>
            <w:vAlign w:val="center"/>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t>Taxation</w:t>
            </w:r>
          </w:p>
        </w:tc>
        <w:tc>
          <w:tcPr>
            <w:tcW w:w="1843" w:type="dxa"/>
            <w:tcBorders>
              <w:top w:val="nil"/>
              <w:left w:val="nil"/>
              <w:bottom w:val="nil"/>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(412,057)</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1,840,531</w:t>
            </w:r>
          </w:p>
        </w:tc>
      </w:tr>
      <w:tr w:rsidR="00EA18F4" w:rsidRPr="008C40E9" w:rsidTr="00EA18F4">
        <w:trPr>
          <w:trHeight w:val="405"/>
        </w:trPr>
        <w:tc>
          <w:tcPr>
            <w:tcW w:w="5954" w:type="dxa"/>
            <w:tcBorders>
              <w:top w:val="nil"/>
              <w:left w:val="nil"/>
              <w:bottom w:val="nil"/>
              <w:right w:val="nil"/>
            </w:tcBorders>
            <w:shd w:val="clear" w:color="auto" w:fill="auto"/>
            <w:noWrap/>
            <w:vAlign w:val="center"/>
          </w:tcPr>
          <w:p w:rsidR="00EA18F4" w:rsidRPr="008C40E9" w:rsidRDefault="00B56742" w:rsidP="008C40E9">
            <w:pPr>
              <w:jc w:val="both"/>
              <w:rPr>
                <w:rFonts w:ascii="Arial" w:hAnsi="Arial" w:cs="Arial"/>
                <w:b/>
                <w:bCs/>
                <w:sz w:val="20"/>
                <w:szCs w:val="20"/>
              </w:rPr>
            </w:pPr>
            <w:r w:rsidRPr="008C40E9">
              <w:rPr>
                <w:rFonts w:ascii="Arial" w:hAnsi="Arial" w:cs="Arial"/>
                <w:b/>
                <w:bCs/>
                <w:sz w:val="20"/>
                <w:szCs w:val="20"/>
              </w:rPr>
              <w:t xml:space="preserve">Profit / (loss) </w:t>
            </w:r>
            <w:r w:rsidR="00EA18F4" w:rsidRPr="008C40E9">
              <w:rPr>
                <w:rFonts w:ascii="Arial" w:hAnsi="Arial" w:cs="Arial"/>
                <w:b/>
                <w:bCs/>
                <w:sz w:val="20"/>
                <w:szCs w:val="20"/>
              </w:rPr>
              <w:t>for the period</w:t>
            </w:r>
          </w:p>
        </w:tc>
        <w:tc>
          <w:tcPr>
            <w:tcW w:w="1843" w:type="dxa"/>
            <w:tcBorders>
              <w:top w:val="single" w:sz="4" w:space="0" w:color="auto"/>
              <w:left w:val="nil"/>
              <w:bottom w:val="single" w:sz="8" w:space="0" w:color="auto"/>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336,233</w:t>
            </w:r>
          </w:p>
        </w:tc>
        <w:tc>
          <w:tcPr>
            <w:tcW w:w="283"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single" w:sz="4" w:space="0" w:color="auto"/>
              <w:left w:val="nil"/>
              <w:bottom w:val="single" w:sz="8" w:space="0" w:color="auto"/>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(12,099,613)</w:t>
            </w:r>
          </w:p>
        </w:tc>
      </w:tr>
      <w:tr w:rsidR="00EA18F4" w:rsidRPr="008C40E9" w:rsidTr="00EA18F4">
        <w:trPr>
          <w:trHeight w:val="5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b/>
                <w:bCs/>
                <w:sz w:val="20"/>
                <w:szCs w:val="20"/>
              </w:rPr>
            </w:pPr>
            <w:r w:rsidRPr="008C40E9">
              <w:rPr>
                <w:rFonts w:ascii="Arial" w:hAnsi="Arial" w:cs="Arial"/>
                <w:b/>
                <w:bCs/>
                <w:sz w:val="20"/>
                <w:szCs w:val="20"/>
              </w:rPr>
              <w:t xml:space="preserve">Earnings per share </w:t>
            </w:r>
            <w:r w:rsidRPr="008C40E9">
              <w:rPr>
                <w:rFonts w:ascii="Arial" w:hAnsi="Arial" w:cs="Arial"/>
                <w:sz w:val="20"/>
                <w:szCs w:val="20"/>
              </w:rPr>
              <w:t>(basic and diluted)</w:t>
            </w:r>
            <w:r w:rsidRPr="008C40E9">
              <w:rPr>
                <w:rFonts w:ascii="Arial" w:hAnsi="Arial" w:cs="Arial"/>
                <w:b/>
                <w:bCs/>
                <w:sz w:val="20"/>
                <w:szCs w:val="20"/>
              </w:rPr>
              <w:t xml:space="preserve"> </w:t>
            </w:r>
          </w:p>
        </w:tc>
        <w:tc>
          <w:tcPr>
            <w:tcW w:w="1843" w:type="dxa"/>
            <w:tcBorders>
              <w:top w:val="nil"/>
              <w:left w:val="nil"/>
              <w:bottom w:val="single" w:sz="8" w:space="0" w:color="auto"/>
              <w:right w:val="nil"/>
            </w:tcBorders>
            <w:shd w:val="clear" w:color="auto" w:fill="auto"/>
            <w:noWrap/>
            <w:vAlign w:val="bottom"/>
          </w:tcPr>
          <w:p w:rsidR="00EA18F4" w:rsidRPr="008C40E9" w:rsidRDefault="00EA18F4" w:rsidP="00707395">
            <w:pPr>
              <w:jc w:val="right"/>
              <w:rPr>
                <w:rFonts w:ascii="Arial" w:hAnsi="Arial" w:cs="Arial"/>
                <w:b/>
                <w:bCs/>
                <w:sz w:val="20"/>
                <w:szCs w:val="20"/>
              </w:rPr>
            </w:pPr>
            <w:r w:rsidRPr="008C40E9">
              <w:rPr>
                <w:rFonts w:ascii="Arial" w:hAnsi="Arial" w:cs="Arial"/>
                <w:b/>
                <w:bCs/>
                <w:sz w:val="20"/>
                <w:szCs w:val="20"/>
              </w:rPr>
              <w:t xml:space="preserve">  </w:t>
            </w:r>
            <w:r w:rsidR="00B56742" w:rsidRPr="008C40E9">
              <w:rPr>
                <w:rFonts w:ascii="Arial" w:hAnsi="Arial" w:cs="Arial"/>
                <w:b/>
                <w:bCs/>
                <w:sz w:val="20"/>
                <w:szCs w:val="20"/>
              </w:rPr>
              <w:t xml:space="preserve">0.52 </w:t>
            </w:r>
            <w:r w:rsidRPr="008C40E9">
              <w:rPr>
                <w:rFonts w:ascii="Arial" w:hAnsi="Arial" w:cs="Arial"/>
                <w:b/>
                <w:bCs/>
                <w:sz w:val="20"/>
                <w:szCs w:val="20"/>
              </w:rPr>
              <w:t>p</w:t>
            </w:r>
          </w:p>
        </w:tc>
        <w:tc>
          <w:tcPr>
            <w:tcW w:w="28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single" w:sz="8" w:space="0" w:color="auto"/>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 xml:space="preserve"> (18.71) p</w:t>
            </w:r>
          </w:p>
        </w:tc>
      </w:tr>
    </w:tbl>
    <w:p w:rsidR="006776DE" w:rsidRPr="008C40E9" w:rsidRDefault="006776DE" w:rsidP="008C40E9">
      <w:pPr>
        <w:jc w:val="both"/>
        <w:rPr>
          <w:rFonts w:ascii="Arial" w:hAnsi="Arial" w:cs="Arial"/>
          <w:sz w:val="20"/>
          <w:szCs w:val="20"/>
        </w:rPr>
      </w:pPr>
    </w:p>
    <w:p w:rsidR="006776DE" w:rsidRPr="008C40E9" w:rsidRDefault="006776DE" w:rsidP="008C40E9">
      <w:pPr>
        <w:jc w:val="both"/>
        <w:rPr>
          <w:rFonts w:ascii="Arial" w:hAnsi="Arial" w:cs="Arial"/>
          <w:sz w:val="20"/>
          <w:szCs w:val="20"/>
        </w:rPr>
      </w:pPr>
    </w:p>
    <w:p w:rsidR="006776DE" w:rsidRPr="008C40E9" w:rsidRDefault="006776DE" w:rsidP="008C40E9">
      <w:pPr>
        <w:ind w:right="-1800"/>
        <w:jc w:val="both"/>
        <w:rPr>
          <w:rFonts w:ascii="Arial" w:hAnsi="Arial" w:cs="Arial"/>
          <w:sz w:val="20"/>
          <w:szCs w:val="20"/>
        </w:rPr>
      </w:pPr>
      <w:r w:rsidRPr="008C40E9">
        <w:rPr>
          <w:rFonts w:ascii="Arial" w:hAnsi="Arial" w:cs="Arial"/>
          <w:sz w:val="20"/>
          <w:szCs w:val="20"/>
        </w:rPr>
        <w:t>CONSOLIDATED STATEMENT OF CHANGES IN EQUITY</w:t>
      </w:r>
    </w:p>
    <w:p w:rsidR="006776DE" w:rsidRPr="008C40E9" w:rsidRDefault="006776DE" w:rsidP="008C40E9">
      <w:pPr>
        <w:tabs>
          <w:tab w:val="left" w:pos="6533"/>
          <w:tab w:val="left" w:pos="6769"/>
          <w:tab w:val="left" w:pos="8748"/>
          <w:tab w:val="left" w:pos="9108"/>
        </w:tabs>
        <w:ind w:left="108"/>
        <w:jc w:val="both"/>
        <w:rPr>
          <w:rFonts w:ascii="Arial" w:hAnsi="Arial" w:cs="Arial"/>
          <w:sz w:val="20"/>
          <w:szCs w:val="20"/>
        </w:rPr>
      </w:pPr>
      <w:r w:rsidRPr="008C40E9">
        <w:rPr>
          <w:rFonts w:ascii="Arial" w:hAnsi="Arial" w:cs="Arial"/>
          <w:sz w:val="20"/>
          <w:szCs w:val="20"/>
        </w:rPr>
        <w:t>(Unaudited)</w:t>
      </w:r>
    </w:p>
    <w:p w:rsidR="006776DE" w:rsidRPr="008C40E9" w:rsidRDefault="006776DE" w:rsidP="008C40E9">
      <w:pPr>
        <w:tabs>
          <w:tab w:val="left" w:pos="6533"/>
          <w:tab w:val="left" w:pos="6769"/>
          <w:tab w:val="left" w:pos="8748"/>
          <w:tab w:val="left" w:pos="9108"/>
        </w:tabs>
        <w:ind w:left="108"/>
        <w:jc w:val="both"/>
        <w:rPr>
          <w:rFonts w:ascii="Arial" w:hAnsi="Arial" w:cs="Arial"/>
          <w:sz w:val="20"/>
          <w:szCs w:val="20"/>
        </w:rPr>
      </w:pPr>
      <w:proofErr w:type="gramStart"/>
      <w:r w:rsidRPr="008C40E9">
        <w:rPr>
          <w:rFonts w:ascii="Arial" w:hAnsi="Arial" w:cs="Arial"/>
          <w:sz w:val="20"/>
          <w:szCs w:val="20"/>
        </w:rPr>
        <w:t>for</w:t>
      </w:r>
      <w:proofErr w:type="gramEnd"/>
      <w:r w:rsidRPr="008C40E9">
        <w:rPr>
          <w:rFonts w:ascii="Arial" w:hAnsi="Arial" w:cs="Arial"/>
          <w:sz w:val="20"/>
          <w:szCs w:val="20"/>
        </w:rPr>
        <w:t xml:space="preserve"> the six months ended 31 December</w:t>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p>
    <w:tbl>
      <w:tblPr>
        <w:tblW w:w="9924" w:type="dxa"/>
        <w:tblInd w:w="108" w:type="dxa"/>
        <w:tblLook w:val="0000"/>
      </w:tblPr>
      <w:tblGrid>
        <w:gridCol w:w="5954"/>
        <w:gridCol w:w="1843"/>
        <w:gridCol w:w="284"/>
        <w:gridCol w:w="1843"/>
      </w:tblGrid>
      <w:tr w:rsidR="00EA18F4" w:rsidRPr="008C40E9" w:rsidTr="00EA18F4">
        <w:trPr>
          <w:trHeight w:val="2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p>
        </w:tc>
        <w:tc>
          <w:tcPr>
            <w:tcW w:w="184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b/>
                <w:bCs/>
                <w:sz w:val="20"/>
                <w:szCs w:val="20"/>
              </w:rPr>
            </w:pPr>
            <w:r w:rsidRPr="008C40E9">
              <w:rPr>
                <w:rFonts w:ascii="Arial" w:hAnsi="Arial" w:cs="Arial"/>
                <w:b/>
                <w:bCs/>
                <w:sz w:val="20"/>
                <w:szCs w:val="20"/>
              </w:rPr>
              <w:t>31 December 2012</w:t>
            </w:r>
          </w:p>
        </w:tc>
        <w:tc>
          <w:tcPr>
            <w:tcW w:w="284"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31 December 2011</w:t>
            </w:r>
          </w:p>
        </w:tc>
      </w:tr>
      <w:tr w:rsidR="00EA18F4" w:rsidRPr="008C40E9" w:rsidTr="00EA18F4">
        <w:trPr>
          <w:trHeight w:val="24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p>
        </w:tc>
        <w:tc>
          <w:tcPr>
            <w:tcW w:w="1843"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b/>
                <w:bCs/>
                <w:sz w:val="20"/>
                <w:szCs w:val="20"/>
              </w:rPr>
            </w:pPr>
            <w:r w:rsidRPr="008C40E9">
              <w:rPr>
                <w:rFonts w:ascii="Arial" w:hAnsi="Arial" w:cs="Arial"/>
                <w:b/>
                <w:bCs/>
                <w:sz w:val="20"/>
                <w:szCs w:val="20"/>
              </w:rPr>
              <w:t>£</w:t>
            </w:r>
          </w:p>
        </w:tc>
        <w:tc>
          <w:tcPr>
            <w:tcW w:w="284"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w:t>
            </w:r>
          </w:p>
        </w:tc>
      </w:tr>
      <w:tr w:rsidR="00EA18F4" w:rsidRPr="008C40E9" w:rsidTr="00EA18F4">
        <w:trPr>
          <w:trHeight w:val="465"/>
        </w:trPr>
        <w:tc>
          <w:tcPr>
            <w:tcW w:w="5954" w:type="dxa"/>
            <w:tcBorders>
              <w:top w:val="nil"/>
              <w:left w:val="nil"/>
              <w:bottom w:val="nil"/>
              <w:right w:val="nil"/>
            </w:tcBorders>
            <w:shd w:val="clear" w:color="auto" w:fill="auto"/>
            <w:noWrap/>
            <w:vAlign w:val="bottom"/>
          </w:tcPr>
          <w:p w:rsidR="00EA18F4" w:rsidRPr="008C40E9" w:rsidRDefault="00B56742" w:rsidP="008C40E9">
            <w:pPr>
              <w:jc w:val="both"/>
              <w:rPr>
                <w:rFonts w:ascii="Arial" w:hAnsi="Arial" w:cs="Arial"/>
                <w:sz w:val="20"/>
                <w:szCs w:val="20"/>
              </w:rPr>
            </w:pPr>
            <w:r w:rsidRPr="008C40E9">
              <w:rPr>
                <w:rFonts w:ascii="Arial" w:hAnsi="Arial" w:cs="Arial"/>
                <w:bCs/>
                <w:sz w:val="20"/>
                <w:szCs w:val="20"/>
              </w:rPr>
              <w:t xml:space="preserve">Profit / (loss) </w:t>
            </w:r>
            <w:r w:rsidR="00EA18F4" w:rsidRPr="008C40E9">
              <w:rPr>
                <w:rFonts w:ascii="Arial" w:hAnsi="Arial" w:cs="Arial"/>
                <w:sz w:val="20"/>
                <w:szCs w:val="20"/>
              </w:rPr>
              <w:t>for the period</w:t>
            </w:r>
          </w:p>
        </w:tc>
        <w:tc>
          <w:tcPr>
            <w:tcW w:w="1843" w:type="dxa"/>
            <w:tcBorders>
              <w:top w:val="nil"/>
              <w:left w:val="nil"/>
              <w:right w:val="nil"/>
            </w:tcBorders>
            <w:shd w:val="clear" w:color="auto" w:fill="auto"/>
            <w:noWrap/>
            <w:vAlign w:val="bottom"/>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336,233</w:t>
            </w:r>
          </w:p>
        </w:tc>
        <w:tc>
          <w:tcPr>
            <w:tcW w:w="284" w:type="dxa"/>
            <w:tcBorders>
              <w:top w:val="nil"/>
              <w:left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(12,099,613)</w:t>
            </w:r>
          </w:p>
        </w:tc>
      </w:tr>
      <w:tr w:rsidR="00EA18F4" w:rsidRPr="008C40E9" w:rsidTr="00B56742">
        <w:trPr>
          <w:trHeight w:val="33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r w:rsidRPr="008C40E9">
              <w:rPr>
                <w:rFonts w:ascii="Arial" w:hAnsi="Arial" w:cs="Arial"/>
                <w:sz w:val="20"/>
                <w:szCs w:val="20"/>
              </w:rPr>
              <w:t>Increase in equity</w:t>
            </w:r>
          </w:p>
        </w:tc>
        <w:tc>
          <w:tcPr>
            <w:tcW w:w="1843" w:type="dxa"/>
            <w:tcBorders>
              <w:top w:val="nil"/>
              <w:left w:val="nil"/>
              <w:right w:val="nil"/>
            </w:tcBorders>
            <w:shd w:val="clear" w:color="auto" w:fill="auto"/>
            <w:noWrap/>
            <w:vAlign w:val="bottom"/>
          </w:tcPr>
          <w:p w:rsidR="00B56742" w:rsidRPr="008C40E9" w:rsidRDefault="00B56742" w:rsidP="00707395">
            <w:pPr>
              <w:jc w:val="right"/>
              <w:rPr>
                <w:rFonts w:ascii="Arial" w:hAnsi="Arial" w:cs="Arial"/>
                <w:b/>
                <w:bCs/>
                <w:sz w:val="20"/>
                <w:szCs w:val="20"/>
              </w:rPr>
            </w:pPr>
            <w:r w:rsidRPr="008C40E9">
              <w:rPr>
                <w:rFonts w:ascii="Arial" w:hAnsi="Arial" w:cs="Arial"/>
                <w:b/>
                <w:bCs/>
                <w:sz w:val="20"/>
                <w:szCs w:val="20"/>
              </w:rPr>
              <w:t>-</w:t>
            </w:r>
          </w:p>
        </w:tc>
        <w:tc>
          <w:tcPr>
            <w:tcW w:w="284" w:type="dxa"/>
            <w:tcBorders>
              <w:top w:val="nil"/>
              <w:left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107,748</w:t>
            </w:r>
          </w:p>
        </w:tc>
      </w:tr>
      <w:tr w:rsidR="00EA18F4" w:rsidRPr="008C40E9" w:rsidTr="00B56742">
        <w:trPr>
          <w:trHeight w:val="33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r w:rsidRPr="008C40E9">
              <w:rPr>
                <w:rFonts w:ascii="Arial" w:hAnsi="Arial" w:cs="Arial"/>
                <w:sz w:val="20"/>
                <w:szCs w:val="20"/>
              </w:rPr>
              <w:t>Dividend</w:t>
            </w:r>
            <w:r w:rsidR="00B56742" w:rsidRPr="008C40E9">
              <w:rPr>
                <w:rFonts w:ascii="Arial" w:hAnsi="Arial" w:cs="Arial"/>
                <w:sz w:val="20"/>
                <w:szCs w:val="20"/>
              </w:rPr>
              <w:t>s</w:t>
            </w:r>
            <w:r w:rsidRPr="008C40E9">
              <w:rPr>
                <w:rFonts w:ascii="Arial" w:hAnsi="Arial" w:cs="Arial"/>
                <w:sz w:val="20"/>
                <w:szCs w:val="20"/>
              </w:rPr>
              <w:t xml:space="preserve"> paid</w:t>
            </w:r>
            <w:r w:rsidR="00B56742" w:rsidRPr="008C40E9">
              <w:rPr>
                <w:rFonts w:ascii="Arial" w:hAnsi="Arial" w:cs="Arial"/>
                <w:sz w:val="20"/>
                <w:szCs w:val="20"/>
              </w:rPr>
              <w:t xml:space="preserve"> (net)</w:t>
            </w:r>
          </w:p>
        </w:tc>
        <w:tc>
          <w:tcPr>
            <w:tcW w:w="1843" w:type="dxa"/>
            <w:tcBorders>
              <w:top w:val="nil"/>
              <w:left w:val="nil"/>
              <w:bottom w:val="single" w:sz="4" w:space="0" w:color="auto"/>
              <w:right w:val="nil"/>
            </w:tcBorders>
            <w:shd w:val="clear" w:color="auto" w:fill="auto"/>
            <w:noWrap/>
            <w:vAlign w:val="bottom"/>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(2,242,299)</w:t>
            </w:r>
          </w:p>
        </w:tc>
        <w:tc>
          <w:tcPr>
            <w:tcW w:w="284" w:type="dxa"/>
            <w:tcBorders>
              <w:top w:val="nil"/>
              <w:left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single" w:sz="4" w:space="0" w:color="auto"/>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(2,251,049)</w:t>
            </w:r>
          </w:p>
        </w:tc>
      </w:tr>
      <w:tr w:rsidR="00EA18F4" w:rsidRPr="008C40E9" w:rsidTr="00B56742">
        <w:trPr>
          <w:trHeight w:val="33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p>
        </w:tc>
        <w:tc>
          <w:tcPr>
            <w:tcW w:w="1843" w:type="dxa"/>
            <w:tcBorders>
              <w:top w:val="single" w:sz="4" w:space="0" w:color="auto"/>
              <w:left w:val="nil"/>
              <w:bottom w:val="nil"/>
              <w:right w:val="nil"/>
            </w:tcBorders>
            <w:shd w:val="clear" w:color="auto" w:fill="auto"/>
            <w:noWrap/>
            <w:vAlign w:val="bottom"/>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(1,906,066)</w:t>
            </w:r>
          </w:p>
        </w:tc>
        <w:tc>
          <w:tcPr>
            <w:tcW w:w="284"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single" w:sz="4" w:space="0" w:color="auto"/>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(14,242,914)</w:t>
            </w:r>
          </w:p>
        </w:tc>
      </w:tr>
      <w:tr w:rsidR="00EA18F4" w:rsidRPr="008C40E9" w:rsidTr="00EA18F4">
        <w:trPr>
          <w:trHeight w:val="33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r w:rsidRPr="008C40E9">
              <w:rPr>
                <w:rFonts w:ascii="Arial" w:hAnsi="Arial" w:cs="Arial"/>
                <w:sz w:val="20"/>
                <w:szCs w:val="20"/>
              </w:rPr>
              <w:t>Opening capital and reserves attributable to equity holders</w:t>
            </w:r>
          </w:p>
        </w:tc>
        <w:tc>
          <w:tcPr>
            <w:tcW w:w="1843" w:type="dxa"/>
            <w:tcBorders>
              <w:top w:val="nil"/>
              <w:left w:val="nil"/>
              <w:bottom w:val="nil"/>
              <w:right w:val="nil"/>
            </w:tcBorders>
            <w:shd w:val="clear" w:color="auto" w:fill="auto"/>
            <w:noWrap/>
            <w:vAlign w:val="bottom"/>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76,305,325</w:t>
            </w:r>
          </w:p>
        </w:tc>
        <w:tc>
          <w:tcPr>
            <w:tcW w:w="284" w:type="dxa"/>
            <w:tcBorders>
              <w:top w:val="nil"/>
              <w:left w:val="nil"/>
              <w:bottom w:val="nil"/>
              <w:right w:val="nil"/>
            </w:tcBorders>
            <w:shd w:val="clear" w:color="auto" w:fill="auto"/>
            <w:noWrap/>
            <w:vAlign w:val="bottom"/>
          </w:tcPr>
          <w:p w:rsidR="00EA18F4" w:rsidRPr="008C40E9" w:rsidRDefault="00EA18F4" w:rsidP="00707395">
            <w:pPr>
              <w:jc w:val="right"/>
              <w:rPr>
                <w:rFonts w:ascii="Arial" w:hAnsi="Arial" w:cs="Arial"/>
                <w:sz w:val="20"/>
                <w:szCs w:val="20"/>
              </w:rPr>
            </w:pPr>
          </w:p>
        </w:tc>
        <w:tc>
          <w:tcPr>
            <w:tcW w:w="1843" w:type="dxa"/>
            <w:tcBorders>
              <w:top w:val="nil"/>
              <w:left w:val="nil"/>
              <w:bottom w:val="nil"/>
              <w:right w:val="nil"/>
            </w:tcBorders>
            <w:vAlign w:val="bottom"/>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98,171,099</w:t>
            </w:r>
          </w:p>
        </w:tc>
      </w:tr>
      <w:tr w:rsidR="00EA18F4" w:rsidRPr="008C40E9" w:rsidTr="00EA18F4">
        <w:trPr>
          <w:trHeight w:val="390"/>
        </w:trPr>
        <w:tc>
          <w:tcPr>
            <w:tcW w:w="5954" w:type="dxa"/>
            <w:tcBorders>
              <w:top w:val="nil"/>
              <w:left w:val="nil"/>
              <w:bottom w:val="nil"/>
              <w:right w:val="nil"/>
            </w:tcBorders>
            <w:shd w:val="clear" w:color="auto" w:fill="auto"/>
            <w:noWrap/>
            <w:vAlign w:val="bottom"/>
          </w:tcPr>
          <w:p w:rsidR="00EA18F4" w:rsidRPr="008C40E9" w:rsidRDefault="00EA18F4" w:rsidP="008C40E9">
            <w:pPr>
              <w:jc w:val="both"/>
              <w:rPr>
                <w:rFonts w:ascii="Arial" w:hAnsi="Arial" w:cs="Arial"/>
                <w:sz w:val="20"/>
                <w:szCs w:val="20"/>
              </w:rPr>
            </w:pPr>
            <w:r w:rsidRPr="008C40E9">
              <w:rPr>
                <w:rFonts w:ascii="Arial" w:hAnsi="Arial" w:cs="Arial"/>
                <w:sz w:val="20"/>
                <w:szCs w:val="20"/>
              </w:rPr>
              <w:t>Closing capital and reserves attributable to equity holders</w:t>
            </w:r>
          </w:p>
        </w:tc>
        <w:tc>
          <w:tcPr>
            <w:tcW w:w="1843" w:type="dxa"/>
            <w:tcBorders>
              <w:top w:val="single" w:sz="4" w:space="0" w:color="auto"/>
              <w:left w:val="nil"/>
              <w:bottom w:val="single" w:sz="8" w:space="0" w:color="auto"/>
              <w:right w:val="nil"/>
            </w:tcBorders>
            <w:shd w:val="clear" w:color="auto" w:fill="auto"/>
            <w:noWrap/>
            <w:vAlign w:val="center"/>
          </w:tcPr>
          <w:p w:rsidR="00EA18F4" w:rsidRPr="008C40E9" w:rsidRDefault="00B56742" w:rsidP="00707395">
            <w:pPr>
              <w:jc w:val="right"/>
              <w:rPr>
                <w:rFonts w:ascii="Arial" w:hAnsi="Arial" w:cs="Arial"/>
                <w:b/>
                <w:bCs/>
                <w:sz w:val="20"/>
                <w:szCs w:val="20"/>
              </w:rPr>
            </w:pPr>
            <w:r w:rsidRPr="008C40E9">
              <w:rPr>
                <w:rFonts w:ascii="Arial" w:hAnsi="Arial" w:cs="Arial"/>
                <w:b/>
                <w:bCs/>
                <w:sz w:val="20"/>
                <w:szCs w:val="20"/>
              </w:rPr>
              <w:t>74,399,259</w:t>
            </w:r>
          </w:p>
        </w:tc>
        <w:tc>
          <w:tcPr>
            <w:tcW w:w="284" w:type="dxa"/>
            <w:tcBorders>
              <w:top w:val="nil"/>
              <w:left w:val="nil"/>
              <w:bottom w:val="nil"/>
              <w:right w:val="nil"/>
            </w:tcBorders>
            <w:shd w:val="clear" w:color="auto" w:fill="auto"/>
            <w:noWrap/>
            <w:vAlign w:val="center"/>
          </w:tcPr>
          <w:p w:rsidR="00EA18F4" w:rsidRPr="008C40E9" w:rsidRDefault="00EA18F4" w:rsidP="00707395">
            <w:pPr>
              <w:jc w:val="right"/>
              <w:rPr>
                <w:rFonts w:ascii="Arial" w:hAnsi="Arial" w:cs="Arial"/>
                <w:sz w:val="20"/>
                <w:szCs w:val="20"/>
              </w:rPr>
            </w:pPr>
          </w:p>
        </w:tc>
        <w:tc>
          <w:tcPr>
            <w:tcW w:w="1843" w:type="dxa"/>
            <w:tcBorders>
              <w:top w:val="single" w:sz="4" w:space="0" w:color="auto"/>
              <w:left w:val="nil"/>
              <w:bottom w:val="single" w:sz="8" w:space="0" w:color="auto"/>
              <w:right w:val="nil"/>
            </w:tcBorders>
            <w:vAlign w:val="center"/>
          </w:tcPr>
          <w:p w:rsidR="00EA18F4" w:rsidRPr="008C40E9" w:rsidRDefault="00EA18F4" w:rsidP="00707395">
            <w:pPr>
              <w:jc w:val="right"/>
              <w:rPr>
                <w:rFonts w:ascii="Arial" w:hAnsi="Arial" w:cs="Arial"/>
                <w:bCs/>
                <w:sz w:val="20"/>
                <w:szCs w:val="20"/>
              </w:rPr>
            </w:pPr>
            <w:r w:rsidRPr="008C40E9">
              <w:rPr>
                <w:rFonts w:ascii="Arial" w:hAnsi="Arial" w:cs="Arial"/>
                <w:bCs/>
                <w:sz w:val="20"/>
                <w:szCs w:val="20"/>
              </w:rPr>
              <w:t>83,928,185</w:t>
            </w:r>
          </w:p>
        </w:tc>
      </w:tr>
    </w:tbl>
    <w:p w:rsidR="006776DE" w:rsidRDefault="006776DE" w:rsidP="008C40E9">
      <w:pPr>
        <w:jc w:val="both"/>
        <w:rPr>
          <w:rFonts w:ascii="Arial" w:hAnsi="Arial" w:cs="Arial"/>
          <w:sz w:val="20"/>
          <w:szCs w:val="20"/>
        </w:rPr>
      </w:pPr>
    </w:p>
    <w:p w:rsidR="00ED42BC" w:rsidRPr="008C40E9" w:rsidRDefault="00ED42BC" w:rsidP="008C40E9">
      <w:pPr>
        <w:jc w:val="both"/>
        <w:rPr>
          <w:rFonts w:ascii="Arial" w:hAnsi="Arial" w:cs="Arial"/>
          <w:sz w:val="20"/>
          <w:szCs w:val="20"/>
        </w:rPr>
      </w:pPr>
    </w:p>
    <w:p w:rsidR="006776DE" w:rsidRPr="008C40E9" w:rsidRDefault="006776DE" w:rsidP="008C40E9">
      <w:pPr>
        <w:ind w:right="-1800"/>
        <w:jc w:val="both"/>
        <w:rPr>
          <w:rFonts w:ascii="Arial" w:hAnsi="Arial" w:cs="Arial"/>
          <w:sz w:val="20"/>
          <w:szCs w:val="20"/>
        </w:rPr>
      </w:pPr>
      <w:r w:rsidRPr="008C40E9">
        <w:rPr>
          <w:rFonts w:ascii="Arial" w:hAnsi="Arial" w:cs="Arial"/>
          <w:sz w:val="20"/>
          <w:szCs w:val="20"/>
        </w:rPr>
        <w:t>CONSOLIDATED BALANCE SHEET (Unaudited)</w:t>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r w:rsidRPr="008C40E9">
        <w:rPr>
          <w:rFonts w:ascii="Arial" w:hAnsi="Arial" w:cs="Arial"/>
          <w:sz w:val="20"/>
          <w:szCs w:val="20"/>
        </w:rPr>
        <w:tab/>
      </w:r>
    </w:p>
    <w:tbl>
      <w:tblPr>
        <w:tblW w:w="10080" w:type="dxa"/>
        <w:tblInd w:w="108" w:type="dxa"/>
        <w:tblLook w:val="0000"/>
      </w:tblPr>
      <w:tblGrid>
        <w:gridCol w:w="6120"/>
        <w:gridCol w:w="1800"/>
        <w:gridCol w:w="360"/>
        <w:gridCol w:w="1800"/>
      </w:tblGrid>
      <w:tr w:rsidR="006776DE" w:rsidRPr="008C40E9" w:rsidTr="0040236B">
        <w:trPr>
          <w:trHeight w:val="300"/>
        </w:trPr>
        <w:tc>
          <w:tcPr>
            <w:tcW w:w="6120" w:type="dxa"/>
            <w:tcBorders>
              <w:top w:val="nil"/>
              <w:left w:val="nil"/>
              <w:bottom w:val="nil"/>
              <w:right w:val="nil"/>
            </w:tcBorders>
            <w:shd w:val="clear" w:color="auto" w:fill="auto"/>
            <w:noWrap/>
            <w:vAlign w:val="bottom"/>
          </w:tcPr>
          <w:p w:rsidR="006776DE" w:rsidRPr="008C40E9" w:rsidRDefault="006776DE" w:rsidP="008C40E9">
            <w:pPr>
              <w:jc w:val="both"/>
              <w:rPr>
                <w:rFonts w:ascii="Arial" w:hAnsi="Arial" w:cs="Arial"/>
                <w:sz w:val="20"/>
                <w:szCs w:val="20"/>
              </w:rPr>
            </w:pPr>
            <w:r w:rsidRPr="008C40E9">
              <w:rPr>
                <w:rFonts w:ascii="Arial" w:hAnsi="Arial" w:cs="Arial"/>
                <w:sz w:val="20"/>
                <w:szCs w:val="20"/>
              </w:rPr>
              <w:t>As at 31 December</w:t>
            </w:r>
          </w:p>
        </w:tc>
        <w:tc>
          <w:tcPr>
            <w:tcW w:w="1800" w:type="dxa"/>
            <w:tcBorders>
              <w:top w:val="nil"/>
              <w:left w:val="nil"/>
              <w:bottom w:val="nil"/>
              <w:right w:val="nil"/>
            </w:tcBorders>
            <w:shd w:val="clear" w:color="auto" w:fill="auto"/>
            <w:noWrap/>
            <w:vAlign w:val="bottom"/>
          </w:tcPr>
          <w:p w:rsidR="006776DE" w:rsidRPr="008C40E9" w:rsidRDefault="006776DE" w:rsidP="00707395">
            <w:pPr>
              <w:jc w:val="right"/>
              <w:rPr>
                <w:rFonts w:ascii="Arial" w:hAnsi="Arial" w:cs="Arial"/>
                <w:sz w:val="20"/>
                <w:szCs w:val="20"/>
              </w:rPr>
            </w:pPr>
          </w:p>
        </w:tc>
        <w:tc>
          <w:tcPr>
            <w:tcW w:w="360" w:type="dxa"/>
            <w:tcBorders>
              <w:top w:val="nil"/>
              <w:left w:val="nil"/>
              <w:bottom w:val="nil"/>
              <w:right w:val="nil"/>
            </w:tcBorders>
            <w:shd w:val="clear" w:color="auto" w:fill="auto"/>
            <w:noWrap/>
            <w:vAlign w:val="bottom"/>
          </w:tcPr>
          <w:p w:rsidR="006776DE" w:rsidRPr="008C40E9" w:rsidRDefault="006776DE"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bottom"/>
          </w:tcPr>
          <w:p w:rsidR="006776DE" w:rsidRPr="008C40E9" w:rsidRDefault="006776DE" w:rsidP="00707395">
            <w:pPr>
              <w:jc w:val="right"/>
              <w:rPr>
                <w:rFonts w:ascii="Arial" w:hAnsi="Arial" w:cs="Arial"/>
                <w:b/>
                <w:bCs/>
                <w:sz w:val="20"/>
                <w:szCs w:val="20"/>
              </w:rPr>
            </w:pPr>
          </w:p>
        </w:tc>
      </w:tr>
      <w:tr w:rsidR="00F74131" w:rsidRPr="008C40E9" w:rsidTr="0040236B">
        <w:trPr>
          <w:trHeight w:val="240"/>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31 December 2012</w:t>
            </w: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31 December 2011</w:t>
            </w:r>
          </w:p>
        </w:tc>
      </w:tr>
      <w:tr w:rsidR="00F74131" w:rsidRPr="008C40E9" w:rsidTr="0040236B">
        <w:trPr>
          <w:trHeight w:val="240"/>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Assets</w:t>
            </w: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w:t>
            </w: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w:t>
            </w:r>
          </w:p>
        </w:tc>
      </w:tr>
      <w:tr w:rsidR="00F74131" w:rsidRPr="008C40E9" w:rsidTr="0040236B">
        <w:trPr>
          <w:trHeight w:val="240"/>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Non-current assets</w:t>
            </w: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
                <w:bCs/>
                <w:sz w:val="20"/>
                <w:szCs w:val="20"/>
              </w:rPr>
            </w:pP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Cs/>
                <w:sz w:val="20"/>
                <w:szCs w:val="20"/>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Property, plant and equipment</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676,795</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685,591</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676,795</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685,591</w:t>
            </w:r>
          </w:p>
        </w:tc>
      </w:tr>
      <w:tr w:rsidR="00F74131" w:rsidRPr="008C40E9" w:rsidTr="0040236B">
        <w:trPr>
          <w:trHeight w:val="480"/>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Current assets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Trade and other receivables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2,213,080</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533,847</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Financial assets fair valued through the income statement:</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numPr>
                <w:ilvl w:val="0"/>
                <w:numId w:val="1"/>
              </w:numPr>
              <w:jc w:val="both"/>
              <w:rPr>
                <w:rFonts w:ascii="Arial" w:hAnsi="Arial" w:cs="Arial"/>
                <w:sz w:val="20"/>
                <w:szCs w:val="20"/>
              </w:rPr>
            </w:pPr>
            <w:r w:rsidRPr="008C40E9">
              <w:rPr>
                <w:rFonts w:ascii="Arial" w:hAnsi="Arial" w:cs="Arial"/>
                <w:sz w:val="20"/>
                <w:szCs w:val="20"/>
              </w:rPr>
              <w:t>Securities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103,687,210</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110,974,440</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numPr>
                <w:ilvl w:val="0"/>
                <w:numId w:val="1"/>
              </w:numPr>
              <w:jc w:val="both"/>
              <w:rPr>
                <w:rFonts w:ascii="Arial" w:hAnsi="Arial" w:cs="Arial"/>
                <w:sz w:val="20"/>
                <w:szCs w:val="20"/>
              </w:rPr>
            </w:pPr>
            <w:r w:rsidRPr="008C40E9">
              <w:rPr>
                <w:rFonts w:ascii="Arial" w:hAnsi="Arial" w:cs="Arial"/>
                <w:sz w:val="20"/>
                <w:szCs w:val="20"/>
              </w:rPr>
              <w:t>Commodities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3,585,721</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3,045,690</w:t>
            </w:r>
          </w:p>
        </w:tc>
      </w:tr>
      <w:tr w:rsidR="00F74131" w:rsidRPr="008C40E9" w:rsidTr="0040236B">
        <w:trPr>
          <w:trHeight w:val="45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Cash and cash equivalents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2,248,596</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2,873,914</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111,734,607</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117,427,891</w:t>
            </w:r>
          </w:p>
        </w:tc>
      </w:tr>
      <w:tr w:rsidR="00F74131" w:rsidRPr="008C40E9" w:rsidTr="0040236B">
        <w:trPr>
          <w:trHeight w:val="420"/>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Liabilities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highlight w:val="yellow"/>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highlight w:val="yellow"/>
              </w:rPr>
            </w:pPr>
          </w:p>
        </w:tc>
      </w:tr>
      <w:tr w:rsidR="00F74131" w:rsidRPr="008C40E9" w:rsidTr="0040236B">
        <w:trPr>
          <w:trHeight w:val="315"/>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Current liabilities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highlight w:val="yellow"/>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highlight w:val="yellow"/>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Financial liabilities: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highlight w:val="yellow"/>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highlight w:val="yellow"/>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Borrowings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5,142,442</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2,637,858</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Trade and other payables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785,337</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909,329</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lastRenderedPageBreak/>
              <w:t>Current tax liabilities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463,490</w:t>
            </w: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Financial liabilities fair valued through the income statement:</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p>
        </w:tc>
      </w:tr>
      <w:tr w:rsidR="00F74131" w:rsidRPr="008C40E9" w:rsidTr="0040236B">
        <w:trPr>
          <w:trHeight w:val="315"/>
        </w:trPr>
        <w:tc>
          <w:tcPr>
            <w:tcW w:w="6120" w:type="dxa"/>
            <w:tcBorders>
              <w:top w:val="nil"/>
              <w:left w:val="nil"/>
              <w:bottom w:val="nil"/>
              <w:right w:val="nil"/>
            </w:tcBorders>
            <w:shd w:val="clear" w:color="auto" w:fill="auto"/>
            <w:noWrap/>
            <w:vAlign w:val="center"/>
          </w:tcPr>
          <w:p w:rsidR="00F74131" w:rsidRPr="008C40E9" w:rsidRDefault="00F74131" w:rsidP="008C40E9">
            <w:pPr>
              <w:numPr>
                <w:ilvl w:val="0"/>
                <w:numId w:val="1"/>
              </w:numPr>
              <w:jc w:val="both"/>
              <w:rPr>
                <w:rFonts w:ascii="Arial" w:hAnsi="Arial" w:cs="Arial"/>
                <w:sz w:val="20"/>
                <w:szCs w:val="20"/>
              </w:rPr>
            </w:pPr>
            <w:r w:rsidRPr="008C40E9">
              <w:rPr>
                <w:rFonts w:ascii="Arial" w:hAnsi="Arial" w:cs="Arial"/>
                <w:sz w:val="20"/>
                <w:szCs w:val="20"/>
              </w:rPr>
              <w:t>Derivatives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7,707,443</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6,696,458</w:t>
            </w:r>
          </w:p>
        </w:tc>
      </w:tr>
      <w:tr w:rsidR="00F74131" w:rsidRPr="008C40E9" w:rsidTr="0040236B">
        <w:trPr>
          <w:trHeight w:val="40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p>
        </w:tc>
        <w:tc>
          <w:tcPr>
            <w:tcW w:w="1800" w:type="dxa"/>
            <w:tcBorders>
              <w:top w:val="single" w:sz="4" w:space="0" w:color="auto"/>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13,635,222</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10,707,135</w:t>
            </w:r>
          </w:p>
        </w:tc>
      </w:tr>
      <w:tr w:rsidR="00F74131" w:rsidRPr="008C40E9" w:rsidTr="0040236B">
        <w:trPr>
          <w:trHeight w:val="420"/>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Net current assets</w:t>
            </w: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98,099,385</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4"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106,720,756</w:t>
            </w:r>
          </w:p>
        </w:tc>
      </w:tr>
      <w:tr w:rsidR="00F74131" w:rsidRPr="008C40E9" w:rsidTr="0040236B">
        <w:trPr>
          <w:trHeight w:val="495"/>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Non-current liabilities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highlight w:val="yellow"/>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highlight w:val="yellow"/>
              </w:rPr>
            </w:pPr>
          </w:p>
        </w:tc>
      </w:tr>
      <w:tr w:rsidR="00F74131" w:rsidRPr="008C40E9" w:rsidTr="0040236B">
        <w:trPr>
          <w:trHeight w:val="227"/>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Borrowings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20,000,000</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20,000,000</w:t>
            </w:r>
          </w:p>
        </w:tc>
      </w:tr>
      <w:tr w:rsidR="00F74131" w:rsidRPr="008C40E9" w:rsidTr="0040236B">
        <w:trPr>
          <w:trHeight w:val="227"/>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Deferred taxation</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4,376,921</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3,478,162</w:t>
            </w:r>
          </w:p>
        </w:tc>
      </w:tr>
      <w:tr w:rsidR="00F74131" w:rsidRPr="008C40E9" w:rsidTr="0040236B">
        <w:trPr>
          <w:trHeight w:val="40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p>
        </w:tc>
        <w:tc>
          <w:tcPr>
            <w:tcW w:w="1800" w:type="dxa"/>
            <w:tcBorders>
              <w:top w:val="single" w:sz="4" w:space="0" w:color="auto"/>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24,376,921</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23,478,162</w:t>
            </w:r>
          </w:p>
        </w:tc>
      </w:tr>
      <w:tr w:rsidR="00F74131" w:rsidRPr="008C40E9" w:rsidTr="0040236B">
        <w:trPr>
          <w:trHeight w:val="375"/>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Net assets</w:t>
            </w:r>
          </w:p>
        </w:tc>
        <w:tc>
          <w:tcPr>
            <w:tcW w:w="1800" w:type="dxa"/>
            <w:tcBorders>
              <w:top w:val="single" w:sz="4" w:space="0" w:color="auto"/>
              <w:left w:val="nil"/>
              <w:bottom w:val="single" w:sz="8"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74,399,259</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8"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83,928,185</w:t>
            </w:r>
          </w:p>
        </w:tc>
      </w:tr>
      <w:tr w:rsidR="00F74131" w:rsidRPr="008C40E9" w:rsidTr="0040236B">
        <w:trPr>
          <w:trHeight w:val="397"/>
        </w:trPr>
        <w:tc>
          <w:tcPr>
            <w:tcW w:w="6120"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Stockholders' equity</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highlight w:val="yellow"/>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highlight w:val="yellow"/>
              </w:rPr>
            </w:pPr>
          </w:p>
        </w:tc>
      </w:tr>
      <w:tr w:rsidR="00F74131" w:rsidRPr="008C40E9" w:rsidTr="0040236B">
        <w:trPr>
          <w:trHeight w:val="28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Ordinary shares</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 xml:space="preserve">646,573 </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 xml:space="preserve">646,573 </w:t>
            </w:r>
          </w:p>
        </w:tc>
      </w:tr>
      <w:tr w:rsidR="00F74131" w:rsidRPr="008C40E9" w:rsidTr="0040236B">
        <w:trPr>
          <w:trHeight w:val="28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Share premium reserve</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 xml:space="preserve">6,017   </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 xml:space="preserve">6,017   </w:t>
            </w:r>
          </w:p>
        </w:tc>
      </w:tr>
      <w:tr w:rsidR="00F74131" w:rsidRPr="008C40E9" w:rsidTr="0040236B">
        <w:trPr>
          <w:trHeight w:val="28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Capital redemption reserve</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 xml:space="preserve">347,402   </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 xml:space="preserve">347,402   </w:t>
            </w:r>
          </w:p>
        </w:tc>
      </w:tr>
      <w:tr w:rsidR="00F74131" w:rsidRPr="008C40E9" w:rsidTr="0040236B">
        <w:trPr>
          <w:trHeight w:val="28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Merger reserve</w:t>
            </w: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 xml:space="preserve">3,564   </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 xml:space="preserve">3,564   </w:t>
            </w:r>
          </w:p>
        </w:tc>
      </w:tr>
      <w:tr w:rsidR="00F74131" w:rsidRPr="008C40E9" w:rsidTr="0040236B">
        <w:trPr>
          <w:trHeight w:val="284"/>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Retained earnings reserve</w:t>
            </w:r>
          </w:p>
        </w:tc>
        <w:tc>
          <w:tcPr>
            <w:tcW w:w="1800" w:type="dxa"/>
            <w:tcBorders>
              <w:top w:val="nil"/>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73,395,703</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single" w:sz="4"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82,924,629</w:t>
            </w:r>
          </w:p>
        </w:tc>
      </w:tr>
      <w:tr w:rsidR="00F74131" w:rsidRPr="008C40E9" w:rsidTr="00CC75D9">
        <w:trPr>
          <w:trHeight w:val="420"/>
        </w:trPr>
        <w:tc>
          <w:tcPr>
            <w:tcW w:w="6120"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Total equity</w:t>
            </w:r>
          </w:p>
        </w:tc>
        <w:tc>
          <w:tcPr>
            <w:tcW w:w="1800" w:type="dxa"/>
            <w:tcBorders>
              <w:top w:val="single" w:sz="4" w:space="0" w:color="auto"/>
              <w:left w:val="nil"/>
              <w:bottom w:val="single" w:sz="8"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74,399,259</w:t>
            </w:r>
          </w:p>
        </w:tc>
        <w:tc>
          <w:tcPr>
            <w:tcW w:w="360" w:type="dxa"/>
            <w:tcBorders>
              <w:top w:val="nil"/>
              <w:left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8" w:space="0" w:color="auto"/>
              <w:right w:val="nil"/>
            </w:tcBorders>
            <w:shd w:val="clear" w:color="auto" w:fill="auto"/>
            <w:noWrap/>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83,928,185</w:t>
            </w:r>
          </w:p>
        </w:tc>
      </w:tr>
      <w:tr w:rsidR="00F74131" w:rsidRPr="008C40E9" w:rsidTr="00CC75D9">
        <w:trPr>
          <w:trHeight w:val="544"/>
        </w:trPr>
        <w:tc>
          <w:tcPr>
            <w:tcW w:w="6120" w:type="dxa"/>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Net asset value per share</w:t>
            </w:r>
          </w:p>
        </w:tc>
        <w:tc>
          <w:tcPr>
            <w:tcW w:w="1800" w:type="dxa"/>
            <w:tcBorders>
              <w:bottom w:val="single" w:sz="4" w:space="0" w:color="auto"/>
            </w:tcBorders>
            <w:shd w:val="clear" w:color="auto" w:fill="auto"/>
            <w:noWrap/>
            <w:vAlign w:val="bottom"/>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 xml:space="preserve"> </w:t>
            </w:r>
            <w:r w:rsidR="00CC75D9" w:rsidRPr="008C40E9">
              <w:rPr>
                <w:rFonts w:ascii="Arial" w:hAnsi="Arial" w:cs="Arial"/>
                <w:b/>
                <w:bCs/>
                <w:sz w:val="20"/>
                <w:szCs w:val="20"/>
              </w:rPr>
              <w:t>115.10 p</w:t>
            </w:r>
          </w:p>
        </w:tc>
        <w:tc>
          <w:tcPr>
            <w:tcW w:w="360" w:type="dxa"/>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bottom w:val="single" w:sz="4" w:space="0" w:color="auto"/>
            </w:tcBorders>
            <w:shd w:val="clear" w:color="auto" w:fill="auto"/>
            <w:noWrap/>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129.80 p</w:t>
            </w:r>
          </w:p>
        </w:tc>
      </w:tr>
    </w:tbl>
    <w:p w:rsidR="00ED42BC" w:rsidRDefault="00ED42BC" w:rsidP="008C40E9">
      <w:pPr>
        <w:jc w:val="both"/>
        <w:rPr>
          <w:rFonts w:ascii="Arial" w:hAnsi="Arial" w:cs="Arial"/>
          <w:sz w:val="20"/>
          <w:szCs w:val="20"/>
        </w:rPr>
      </w:pPr>
    </w:p>
    <w:p w:rsidR="006776DE" w:rsidRPr="008C40E9" w:rsidRDefault="006776DE" w:rsidP="008C40E9">
      <w:pPr>
        <w:jc w:val="both"/>
        <w:rPr>
          <w:rFonts w:ascii="Arial" w:hAnsi="Arial" w:cs="Arial"/>
          <w:sz w:val="20"/>
          <w:szCs w:val="20"/>
        </w:rPr>
      </w:pPr>
    </w:p>
    <w:p w:rsidR="006776DE" w:rsidRPr="008C40E9" w:rsidRDefault="006776DE" w:rsidP="008C40E9">
      <w:pPr>
        <w:jc w:val="both"/>
        <w:rPr>
          <w:rFonts w:ascii="Arial" w:hAnsi="Arial" w:cs="Arial"/>
          <w:sz w:val="20"/>
          <w:szCs w:val="20"/>
        </w:rPr>
      </w:pPr>
      <w:r w:rsidRPr="008C40E9">
        <w:rPr>
          <w:rFonts w:ascii="Arial" w:hAnsi="Arial" w:cs="Arial"/>
          <w:sz w:val="20"/>
          <w:szCs w:val="20"/>
        </w:rPr>
        <w:t xml:space="preserve">CONSOLIDATED </w:t>
      </w:r>
      <w:smartTag w:uri="urn:schemas-microsoft-com:office:smarttags" w:element="stockticker">
        <w:r w:rsidRPr="008C40E9">
          <w:rPr>
            <w:rFonts w:ascii="Arial" w:hAnsi="Arial" w:cs="Arial"/>
            <w:sz w:val="20"/>
            <w:szCs w:val="20"/>
          </w:rPr>
          <w:t>CASH</w:t>
        </w:r>
      </w:smartTag>
      <w:r w:rsidRPr="008C40E9">
        <w:rPr>
          <w:rFonts w:ascii="Arial" w:hAnsi="Arial" w:cs="Arial"/>
          <w:sz w:val="20"/>
          <w:szCs w:val="20"/>
        </w:rPr>
        <w:t xml:space="preserve"> </w:t>
      </w:r>
      <w:smartTag w:uri="urn:schemas-microsoft-com:office:smarttags" w:element="stockticker">
        <w:r w:rsidRPr="008C40E9">
          <w:rPr>
            <w:rFonts w:ascii="Arial" w:hAnsi="Arial" w:cs="Arial"/>
            <w:sz w:val="20"/>
            <w:szCs w:val="20"/>
          </w:rPr>
          <w:t>FLOW</w:t>
        </w:r>
      </w:smartTag>
      <w:r w:rsidRPr="008C40E9">
        <w:rPr>
          <w:rFonts w:ascii="Arial" w:hAnsi="Arial" w:cs="Arial"/>
          <w:sz w:val="20"/>
          <w:szCs w:val="20"/>
        </w:rPr>
        <w:t xml:space="preserve"> STATEMENT</w:t>
      </w:r>
    </w:p>
    <w:p w:rsidR="006776DE" w:rsidRPr="008C40E9" w:rsidRDefault="006776DE" w:rsidP="008C40E9">
      <w:pPr>
        <w:jc w:val="both"/>
        <w:rPr>
          <w:rFonts w:ascii="Arial" w:hAnsi="Arial" w:cs="Arial"/>
          <w:sz w:val="20"/>
          <w:szCs w:val="20"/>
        </w:rPr>
      </w:pPr>
      <w:r w:rsidRPr="008C40E9">
        <w:rPr>
          <w:rFonts w:ascii="Arial" w:hAnsi="Arial" w:cs="Arial"/>
          <w:sz w:val="20"/>
          <w:szCs w:val="20"/>
        </w:rPr>
        <w:t>(Unaudited)</w:t>
      </w:r>
    </w:p>
    <w:tbl>
      <w:tblPr>
        <w:tblW w:w="10385" w:type="dxa"/>
        <w:tblInd w:w="108" w:type="dxa"/>
        <w:tblLook w:val="0000"/>
      </w:tblPr>
      <w:tblGrid>
        <w:gridCol w:w="6425"/>
        <w:gridCol w:w="1800"/>
        <w:gridCol w:w="360"/>
        <w:gridCol w:w="1800"/>
      </w:tblGrid>
      <w:tr w:rsidR="00F74131" w:rsidRPr="008C40E9" w:rsidTr="00F74131">
        <w:trPr>
          <w:trHeight w:val="240"/>
        </w:trPr>
        <w:tc>
          <w:tcPr>
            <w:tcW w:w="6425"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sz w:val="20"/>
                <w:szCs w:val="20"/>
              </w:rPr>
            </w:pPr>
            <w:r w:rsidRPr="008C40E9">
              <w:rPr>
                <w:rFonts w:ascii="Arial" w:hAnsi="Arial" w:cs="Arial"/>
                <w:sz w:val="20"/>
                <w:szCs w:val="20"/>
              </w:rPr>
              <w:t>for the six months ended 31 December</w:t>
            </w: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31 December 2012</w:t>
            </w: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31 December 2011</w:t>
            </w:r>
          </w:p>
        </w:tc>
      </w:tr>
      <w:tr w:rsidR="00F74131" w:rsidRPr="008C40E9" w:rsidTr="00F74131">
        <w:trPr>
          <w:trHeight w:val="240"/>
        </w:trPr>
        <w:tc>
          <w:tcPr>
            <w:tcW w:w="6425"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sz w:val="20"/>
                <w:szCs w:val="20"/>
              </w:rPr>
            </w:pPr>
          </w:p>
        </w:tc>
        <w:tc>
          <w:tcPr>
            <w:tcW w:w="180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b/>
                <w:bCs/>
                <w:sz w:val="20"/>
                <w:szCs w:val="20"/>
              </w:rPr>
            </w:pPr>
            <w:r w:rsidRPr="008C40E9">
              <w:rPr>
                <w:rFonts w:ascii="Arial" w:hAnsi="Arial" w:cs="Arial"/>
                <w:b/>
                <w:bCs/>
                <w:sz w:val="20"/>
                <w:szCs w:val="20"/>
              </w:rPr>
              <w:t>£</w:t>
            </w: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w:t>
            </w:r>
          </w:p>
        </w:tc>
      </w:tr>
      <w:tr w:rsidR="00F74131" w:rsidRPr="008C40E9" w:rsidTr="00F74131">
        <w:trPr>
          <w:trHeight w:val="240"/>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p>
        </w:tc>
        <w:tc>
          <w:tcPr>
            <w:tcW w:w="180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b/>
                <w:bCs/>
                <w:sz w:val="20"/>
                <w:szCs w:val="20"/>
              </w:rPr>
            </w:pP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center"/>
          </w:tcPr>
          <w:p w:rsidR="00F74131" w:rsidRPr="008C40E9" w:rsidRDefault="00F74131" w:rsidP="00707395">
            <w:pPr>
              <w:jc w:val="right"/>
              <w:rPr>
                <w:rFonts w:ascii="Arial" w:hAnsi="Arial" w:cs="Arial"/>
                <w:bCs/>
                <w:sz w:val="20"/>
                <w:szCs w:val="20"/>
              </w:rPr>
            </w:pPr>
          </w:p>
        </w:tc>
      </w:tr>
      <w:tr w:rsidR="00F74131" w:rsidRPr="008C40E9" w:rsidTr="00F74131">
        <w:trPr>
          <w:trHeight w:val="240"/>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 xml:space="preserve">Net cash </w:t>
            </w:r>
            <w:r w:rsidR="00222A3E" w:rsidRPr="008C40E9">
              <w:rPr>
                <w:rFonts w:ascii="Arial" w:hAnsi="Arial" w:cs="Arial"/>
                <w:b/>
                <w:bCs/>
                <w:sz w:val="20"/>
                <w:szCs w:val="20"/>
              </w:rPr>
              <w:t xml:space="preserve">outflow </w:t>
            </w:r>
            <w:r w:rsidRPr="008C40E9">
              <w:rPr>
                <w:rFonts w:ascii="Arial" w:hAnsi="Arial" w:cs="Arial"/>
                <w:b/>
                <w:bCs/>
                <w:sz w:val="20"/>
                <w:szCs w:val="20"/>
              </w:rPr>
              <w:t>from operating activities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3,962,000</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10,852,408</w:t>
            </w:r>
          </w:p>
        </w:tc>
      </w:tr>
      <w:tr w:rsidR="00F74131" w:rsidRPr="008C40E9" w:rsidTr="00222A3E">
        <w:trPr>
          <w:trHeight w:val="240"/>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 xml:space="preserve">Income tax </w:t>
            </w:r>
            <w:r w:rsidR="00222A3E" w:rsidRPr="008C40E9">
              <w:rPr>
                <w:rFonts w:ascii="Arial" w:hAnsi="Arial" w:cs="Arial"/>
                <w:sz w:val="20"/>
                <w:szCs w:val="20"/>
              </w:rPr>
              <w:t>due / (</w:t>
            </w:r>
            <w:r w:rsidRPr="008C40E9">
              <w:rPr>
                <w:rFonts w:ascii="Arial" w:hAnsi="Arial" w:cs="Arial"/>
                <w:sz w:val="20"/>
                <w:szCs w:val="20"/>
              </w:rPr>
              <w:t>paid</w:t>
            </w:r>
            <w:r w:rsidR="00222A3E" w:rsidRPr="008C40E9">
              <w:rPr>
                <w:rFonts w:ascii="Arial" w:hAnsi="Arial" w:cs="Arial"/>
                <w:sz w:val="20"/>
                <w:szCs w:val="20"/>
              </w:rPr>
              <w:t>)</w:t>
            </w:r>
          </w:p>
        </w:tc>
        <w:tc>
          <w:tcPr>
            <w:tcW w:w="1800" w:type="dxa"/>
            <w:tcBorders>
              <w:top w:val="nil"/>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8,047</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single" w:sz="4" w:space="0" w:color="auto"/>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(11,083)</w:t>
            </w:r>
          </w:p>
        </w:tc>
      </w:tr>
      <w:tr w:rsidR="00F74131" w:rsidRPr="008C40E9" w:rsidTr="00222A3E">
        <w:trPr>
          <w:trHeight w:val="441"/>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p>
        </w:tc>
        <w:tc>
          <w:tcPr>
            <w:tcW w:w="1800" w:type="dxa"/>
            <w:tcBorders>
              <w:top w:val="single" w:sz="4" w:space="0" w:color="auto"/>
              <w:left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3,970,047</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10,841,325</w:t>
            </w:r>
          </w:p>
        </w:tc>
      </w:tr>
      <w:tr w:rsidR="00F74131" w:rsidRPr="008C40E9" w:rsidTr="00222A3E">
        <w:trPr>
          <w:trHeight w:val="345"/>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Cash flow from investing activities</w:t>
            </w:r>
          </w:p>
        </w:tc>
        <w:tc>
          <w:tcPr>
            <w:tcW w:w="1800" w:type="dxa"/>
            <w:tcBorders>
              <w:left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(14,046)</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left w:val="nil"/>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(11,859)</w:t>
            </w:r>
          </w:p>
        </w:tc>
      </w:tr>
      <w:tr w:rsidR="00F74131" w:rsidRPr="008C40E9" w:rsidTr="00222A3E">
        <w:trPr>
          <w:trHeight w:val="405"/>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Cash flow from financing activities</w:t>
            </w:r>
          </w:p>
        </w:tc>
        <w:tc>
          <w:tcPr>
            <w:tcW w:w="1800" w:type="dxa"/>
            <w:tcBorders>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(2,928,502)</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left w:val="nil"/>
              <w:bottom w:val="single" w:sz="4" w:space="0" w:color="auto"/>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(2,972,900)</w:t>
            </w:r>
          </w:p>
        </w:tc>
      </w:tr>
      <w:tr w:rsidR="00F74131" w:rsidRPr="008C40E9" w:rsidTr="00F74131">
        <w:trPr>
          <w:trHeight w:val="420"/>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Net decrease in cash and cash equivalents</w:t>
            </w:r>
          </w:p>
        </w:tc>
        <w:tc>
          <w:tcPr>
            <w:tcW w:w="1800" w:type="dxa"/>
            <w:tcBorders>
              <w:top w:val="nil"/>
              <w:left w:val="nil"/>
              <w:bottom w:val="single" w:sz="4"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1,027,499</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single" w:sz="4" w:space="0" w:color="auto"/>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7,856,566</w:t>
            </w:r>
          </w:p>
        </w:tc>
      </w:tr>
      <w:tr w:rsidR="00F74131" w:rsidRPr="008C40E9" w:rsidTr="00F74131">
        <w:trPr>
          <w:trHeight w:val="375"/>
        </w:trPr>
        <w:tc>
          <w:tcPr>
            <w:tcW w:w="6425"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Cash and cash equivalents at 30 June</w:t>
            </w:r>
          </w:p>
        </w:tc>
        <w:tc>
          <w:tcPr>
            <w:tcW w:w="1800" w:type="dxa"/>
            <w:tcBorders>
              <w:top w:val="nil"/>
              <w:left w:val="nil"/>
              <w:bottom w:val="nil"/>
              <w:right w:val="nil"/>
            </w:tcBorders>
            <w:shd w:val="clear" w:color="auto" w:fill="auto"/>
            <w:noWrap/>
            <w:vAlign w:val="bottom"/>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(3,602,835)</w:t>
            </w:r>
          </w:p>
        </w:tc>
        <w:tc>
          <w:tcPr>
            <w:tcW w:w="360" w:type="dxa"/>
            <w:tcBorders>
              <w:top w:val="nil"/>
              <w:left w:val="nil"/>
              <w:bottom w:val="nil"/>
              <w:right w:val="nil"/>
            </w:tcBorders>
            <w:shd w:val="clear" w:color="auto" w:fill="auto"/>
            <w:noWrap/>
            <w:vAlign w:val="bottom"/>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bottom"/>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(7,725,036)</w:t>
            </w:r>
          </w:p>
        </w:tc>
      </w:tr>
      <w:tr w:rsidR="00F74131" w:rsidRPr="008C40E9" w:rsidTr="00F74131">
        <w:trPr>
          <w:trHeight w:val="300"/>
        </w:trPr>
        <w:tc>
          <w:tcPr>
            <w:tcW w:w="6425" w:type="dxa"/>
            <w:tcBorders>
              <w:top w:val="nil"/>
              <w:left w:val="nil"/>
              <w:bottom w:val="nil"/>
              <w:right w:val="nil"/>
            </w:tcBorders>
            <w:shd w:val="clear" w:color="auto" w:fill="auto"/>
            <w:noWrap/>
            <w:vAlign w:val="center"/>
          </w:tcPr>
          <w:p w:rsidR="00F74131" w:rsidRPr="008C40E9" w:rsidRDefault="00F74131" w:rsidP="008C40E9">
            <w:pPr>
              <w:jc w:val="both"/>
              <w:rPr>
                <w:rFonts w:ascii="Arial" w:hAnsi="Arial" w:cs="Arial"/>
                <w:sz w:val="20"/>
                <w:szCs w:val="20"/>
              </w:rPr>
            </w:pPr>
            <w:r w:rsidRPr="008C40E9">
              <w:rPr>
                <w:rFonts w:ascii="Arial" w:hAnsi="Arial" w:cs="Arial"/>
                <w:sz w:val="20"/>
                <w:szCs w:val="20"/>
              </w:rPr>
              <w:t>Effect of foreign exchange rate changes</w:t>
            </w:r>
          </w:p>
        </w:tc>
        <w:tc>
          <w:tcPr>
            <w:tcW w:w="1800" w:type="dxa"/>
            <w:tcBorders>
              <w:top w:val="nil"/>
              <w:left w:val="nil"/>
              <w:bottom w:val="nil"/>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(318,510)</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nil"/>
              <w:left w:val="nil"/>
              <w:bottom w:val="nil"/>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104,526</w:t>
            </w:r>
          </w:p>
        </w:tc>
      </w:tr>
      <w:tr w:rsidR="00F74131" w:rsidRPr="008C40E9" w:rsidTr="00F74131">
        <w:trPr>
          <w:trHeight w:val="300"/>
        </w:trPr>
        <w:tc>
          <w:tcPr>
            <w:tcW w:w="6425" w:type="dxa"/>
            <w:tcBorders>
              <w:top w:val="nil"/>
              <w:left w:val="nil"/>
              <w:bottom w:val="nil"/>
              <w:right w:val="nil"/>
            </w:tcBorders>
            <w:shd w:val="clear" w:color="auto" w:fill="auto"/>
            <w:noWrap/>
            <w:vAlign w:val="bottom"/>
          </w:tcPr>
          <w:p w:rsidR="00F74131" w:rsidRPr="008C40E9" w:rsidRDefault="00F74131" w:rsidP="008C40E9">
            <w:pPr>
              <w:jc w:val="both"/>
              <w:rPr>
                <w:rFonts w:ascii="Arial" w:hAnsi="Arial" w:cs="Arial"/>
                <w:b/>
                <w:bCs/>
                <w:sz w:val="20"/>
                <w:szCs w:val="20"/>
              </w:rPr>
            </w:pPr>
            <w:r w:rsidRPr="008C40E9">
              <w:rPr>
                <w:rFonts w:ascii="Arial" w:hAnsi="Arial" w:cs="Arial"/>
                <w:b/>
                <w:bCs/>
                <w:sz w:val="20"/>
                <w:szCs w:val="20"/>
              </w:rPr>
              <w:t>Cash and cash equivalents at 31 December</w:t>
            </w:r>
          </w:p>
        </w:tc>
        <w:tc>
          <w:tcPr>
            <w:tcW w:w="1800" w:type="dxa"/>
            <w:tcBorders>
              <w:top w:val="single" w:sz="4" w:space="0" w:color="auto"/>
              <w:left w:val="nil"/>
              <w:bottom w:val="single" w:sz="8" w:space="0" w:color="auto"/>
              <w:right w:val="nil"/>
            </w:tcBorders>
            <w:shd w:val="clear" w:color="auto" w:fill="auto"/>
            <w:noWrap/>
            <w:vAlign w:val="center"/>
          </w:tcPr>
          <w:p w:rsidR="00F74131" w:rsidRPr="008C40E9" w:rsidRDefault="00CC75D9" w:rsidP="00707395">
            <w:pPr>
              <w:jc w:val="right"/>
              <w:rPr>
                <w:rFonts w:ascii="Arial" w:hAnsi="Arial" w:cs="Arial"/>
                <w:b/>
                <w:bCs/>
                <w:sz w:val="20"/>
                <w:szCs w:val="20"/>
              </w:rPr>
            </w:pPr>
            <w:r w:rsidRPr="008C40E9">
              <w:rPr>
                <w:rFonts w:ascii="Arial" w:hAnsi="Arial" w:cs="Arial"/>
                <w:b/>
                <w:bCs/>
                <w:sz w:val="20"/>
                <w:szCs w:val="20"/>
              </w:rPr>
              <w:t>(2,893,846)</w:t>
            </w:r>
          </w:p>
        </w:tc>
        <w:tc>
          <w:tcPr>
            <w:tcW w:w="360" w:type="dxa"/>
            <w:tcBorders>
              <w:top w:val="nil"/>
              <w:left w:val="nil"/>
              <w:bottom w:val="nil"/>
              <w:right w:val="nil"/>
            </w:tcBorders>
            <w:shd w:val="clear" w:color="auto" w:fill="auto"/>
            <w:noWrap/>
            <w:vAlign w:val="center"/>
          </w:tcPr>
          <w:p w:rsidR="00F74131" w:rsidRPr="008C40E9" w:rsidRDefault="00F74131" w:rsidP="00707395">
            <w:pPr>
              <w:jc w:val="right"/>
              <w:rPr>
                <w:rFonts w:ascii="Arial" w:hAnsi="Arial" w:cs="Arial"/>
                <w:sz w:val="20"/>
                <w:szCs w:val="20"/>
              </w:rPr>
            </w:pPr>
          </w:p>
        </w:tc>
        <w:tc>
          <w:tcPr>
            <w:tcW w:w="1800" w:type="dxa"/>
            <w:tcBorders>
              <w:top w:val="single" w:sz="4" w:space="0" w:color="auto"/>
              <w:left w:val="nil"/>
              <w:bottom w:val="single" w:sz="8" w:space="0" w:color="auto"/>
              <w:right w:val="nil"/>
            </w:tcBorders>
            <w:vAlign w:val="center"/>
          </w:tcPr>
          <w:p w:rsidR="00F74131" w:rsidRPr="008C40E9" w:rsidRDefault="00F74131" w:rsidP="00707395">
            <w:pPr>
              <w:jc w:val="right"/>
              <w:rPr>
                <w:rFonts w:ascii="Arial" w:hAnsi="Arial" w:cs="Arial"/>
                <w:bCs/>
                <w:sz w:val="20"/>
                <w:szCs w:val="20"/>
              </w:rPr>
            </w:pPr>
            <w:r w:rsidRPr="008C40E9">
              <w:rPr>
                <w:rFonts w:ascii="Arial" w:hAnsi="Arial" w:cs="Arial"/>
                <w:bCs/>
                <w:sz w:val="20"/>
                <w:szCs w:val="20"/>
              </w:rPr>
              <w:t>236,056</w:t>
            </w:r>
          </w:p>
        </w:tc>
      </w:tr>
    </w:tbl>
    <w:p w:rsidR="009B1052" w:rsidRPr="008C40E9" w:rsidRDefault="009B1052" w:rsidP="008C40E9">
      <w:pPr>
        <w:jc w:val="both"/>
        <w:rPr>
          <w:rFonts w:ascii="Arial" w:hAnsi="Arial" w:cs="Arial"/>
          <w:sz w:val="20"/>
          <w:szCs w:val="20"/>
        </w:rPr>
      </w:pPr>
    </w:p>
    <w:p w:rsidR="009B1052" w:rsidRPr="008C40E9" w:rsidRDefault="009B1052" w:rsidP="008C40E9">
      <w:pPr>
        <w:jc w:val="both"/>
        <w:rPr>
          <w:rFonts w:ascii="Arial" w:hAnsi="Arial" w:cs="Arial"/>
          <w:sz w:val="20"/>
          <w:szCs w:val="20"/>
        </w:rPr>
      </w:pPr>
    </w:p>
    <w:p w:rsidR="009B1052" w:rsidRPr="008C40E9" w:rsidRDefault="009B1052" w:rsidP="008C40E9">
      <w:pPr>
        <w:jc w:val="both"/>
        <w:rPr>
          <w:rFonts w:ascii="Arial" w:hAnsi="Arial" w:cs="Arial"/>
          <w:sz w:val="20"/>
          <w:szCs w:val="20"/>
        </w:rPr>
      </w:pPr>
    </w:p>
    <w:p w:rsidR="009B1052" w:rsidRPr="008C40E9" w:rsidRDefault="009B1052" w:rsidP="008C40E9">
      <w:pPr>
        <w:jc w:val="both"/>
        <w:rPr>
          <w:rFonts w:ascii="Arial" w:hAnsi="Arial" w:cs="Arial"/>
          <w:sz w:val="20"/>
          <w:szCs w:val="20"/>
        </w:rPr>
      </w:pPr>
      <w:r w:rsidRPr="008C40E9">
        <w:rPr>
          <w:rFonts w:ascii="Arial" w:hAnsi="Arial" w:cs="Arial"/>
          <w:sz w:val="20"/>
          <w:szCs w:val="20"/>
        </w:rPr>
        <w:br w:type="page"/>
      </w:r>
    </w:p>
    <w:p w:rsidR="006776DE" w:rsidRPr="008C40E9" w:rsidRDefault="006776DE" w:rsidP="008C40E9">
      <w:pPr>
        <w:spacing w:before="240" w:after="120"/>
        <w:ind w:right="-902"/>
        <w:jc w:val="both"/>
        <w:rPr>
          <w:rFonts w:ascii="Arial" w:hAnsi="Arial" w:cs="Arial"/>
          <w:sz w:val="20"/>
          <w:szCs w:val="20"/>
        </w:rPr>
      </w:pPr>
      <w:r w:rsidRPr="008C40E9">
        <w:rPr>
          <w:rFonts w:ascii="Arial" w:hAnsi="Arial" w:cs="Arial"/>
          <w:sz w:val="20"/>
          <w:szCs w:val="20"/>
        </w:rPr>
        <w:lastRenderedPageBreak/>
        <w:t>NOTES TO THE UNAUDITED CONSOLIDATED FINANCIAL STATEMENTS</w:t>
      </w:r>
    </w:p>
    <w:p w:rsidR="006776DE" w:rsidRPr="008C40E9" w:rsidRDefault="006776DE" w:rsidP="008C40E9">
      <w:pPr>
        <w:spacing w:after="60"/>
        <w:jc w:val="both"/>
        <w:rPr>
          <w:rFonts w:ascii="Arial" w:hAnsi="Arial" w:cs="Arial"/>
          <w:sz w:val="20"/>
          <w:szCs w:val="20"/>
        </w:rPr>
      </w:pPr>
      <w:r w:rsidRPr="008C40E9">
        <w:rPr>
          <w:rFonts w:ascii="Arial" w:hAnsi="Arial" w:cs="Arial"/>
          <w:sz w:val="20"/>
          <w:szCs w:val="20"/>
        </w:rPr>
        <w:t>The Unaudited Consolidated Interim Financial Statements (“Financial Statements”) for the six months ended 31 December 201</w:t>
      </w:r>
      <w:r w:rsidR="00F74131" w:rsidRPr="008C40E9">
        <w:rPr>
          <w:rFonts w:ascii="Arial" w:hAnsi="Arial" w:cs="Arial"/>
          <w:sz w:val="20"/>
          <w:szCs w:val="20"/>
        </w:rPr>
        <w:t>2</w:t>
      </w:r>
      <w:r w:rsidRPr="008C40E9">
        <w:rPr>
          <w:rFonts w:ascii="Arial" w:hAnsi="Arial" w:cs="Arial"/>
          <w:sz w:val="20"/>
          <w:szCs w:val="20"/>
        </w:rPr>
        <w:t xml:space="preserve"> do not constitute statutory accounts within the meaning of </w:t>
      </w:r>
      <w:r w:rsidR="0040236B" w:rsidRPr="008C40E9">
        <w:rPr>
          <w:rFonts w:ascii="Arial" w:hAnsi="Arial" w:cs="Arial"/>
          <w:sz w:val="20"/>
          <w:szCs w:val="20"/>
        </w:rPr>
        <w:t>section 238 of the Guernsey Company Law (2008)</w:t>
      </w:r>
      <w:r w:rsidRPr="008C40E9">
        <w:rPr>
          <w:rFonts w:ascii="Arial" w:hAnsi="Arial" w:cs="Arial"/>
          <w:sz w:val="20"/>
          <w:szCs w:val="20"/>
        </w:rPr>
        <w:t>.</w:t>
      </w:r>
    </w:p>
    <w:p w:rsidR="006776DE" w:rsidRPr="008C40E9" w:rsidRDefault="006776DE" w:rsidP="008C40E9">
      <w:pPr>
        <w:spacing w:after="60"/>
        <w:jc w:val="both"/>
        <w:rPr>
          <w:rFonts w:ascii="Arial" w:hAnsi="Arial" w:cs="Arial"/>
          <w:sz w:val="20"/>
          <w:szCs w:val="20"/>
        </w:rPr>
      </w:pPr>
    </w:p>
    <w:p w:rsidR="006776DE" w:rsidRPr="008C40E9" w:rsidRDefault="006776DE" w:rsidP="008C40E9">
      <w:pPr>
        <w:spacing w:after="60"/>
        <w:jc w:val="both"/>
        <w:rPr>
          <w:rFonts w:ascii="Arial" w:hAnsi="Arial" w:cs="Arial"/>
          <w:sz w:val="20"/>
          <w:szCs w:val="20"/>
        </w:rPr>
      </w:pPr>
      <w:r w:rsidRPr="008C40E9">
        <w:rPr>
          <w:rFonts w:ascii="Arial" w:hAnsi="Arial" w:cs="Arial"/>
          <w:sz w:val="20"/>
          <w:szCs w:val="20"/>
        </w:rPr>
        <w:t>The Group’s accounting policies have been applied consistently in dealing with items which are considered material in relation to the audited financial statements of El Oro Ltd for the year ended 30 June 201</w:t>
      </w:r>
      <w:r w:rsidR="0090489E" w:rsidRPr="008C40E9">
        <w:rPr>
          <w:rFonts w:ascii="Arial" w:hAnsi="Arial" w:cs="Arial"/>
          <w:sz w:val="20"/>
          <w:szCs w:val="20"/>
        </w:rPr>
        <w:t>2</w:t>
      </w:r>
      <w:r w:rsidRPr="008C40E9">
        <w:rPr>
          <w:rFonts w:ascii="Arial" w:hAnsi="Arial" w:cs="Arial"/>
          <w:sz w:val="20"/>
          <w:szCs w:val="20"/>
        </w:rPr>
        <w:t>.</w:t>
      </w:r>
    </w:p>
    <w:p w:rsidR="006776DE" w:rsidRPr="008C40E9" w:rsidRDefault="006776DE" w:rsidP="008C40E9">
      <w:pPr>
        <w:spacing w:after="60"/>
        <w:jc w:val="both"/>
        <w:rPr>
          <w:rFonts w:ascii="Arial" w:hAnsi="Arial" w:cs="Arial"/>
          <w:sz w:val="20"/>
          <w:szCs w:val="20"/>
        </w:rPr>
      </w:pPr>
    </w:p>
    <w:p w:rsidR="006776DE" w:rsidRPr="008C40E9" w:rsidRDefault="006776DE" w:rsidP="008C40E9">
      <w:pPr>
        <w:spacing w:after="60"/>
        <w:jc w:val="both"/>
        <w:rPr>
          <w:rFonts w:ascii="Arial" w:hAnsi="Arial" w:cs="Arial"/>
          <w:sz w:val="20"/>
          <w:szCs w:val="20"/>
        </w:rPr>
      </w:pPr>
      <w:r w:rsidRPr="008C40E9">
        <w:rPr>
          <w:rFonts w:ascii="Arial" w:hAnsi="Arial" w:cs="Arial"/>
          <w:sz w:val="20"/>
          <w:szCs w:val="20"/>
        </w:rPr>
        <w:t>A</w:t>
      </w:r>
      <w:r w:rsidR="0070692E" w:rsidRPr="008C40E9">
        <w:rPr>
          <w:rFonts w:ascii="Arial" w:hAnsi="Arial" w:cs="Arial"/>
          <w:sz w:val="20"/>
          <w:szCs w:val="20"/>
        </w:rPr>
        <w:t xml:space="preserve"> final </w:t>
      </w:r>
      <w:r w:rsidRPr="008C40E9">
        <w:rPr>
          <w:rFonts w:ascii="Arial" w:hAnsi="Arial" w:cs="Arial"/>
          <w:sz w:val="20"/>
          <w:szCs w:val="20"/>
        </w:rPr>
        <w:t xml:space="preserve">dividend of </w:t>
      </w:r>
      <w:r w:rsidR="0090489E" w:rsidRPr="008C40E9">
        <w:rPr>
          <w:rFonts w:ascii="Arial" w:hAnsi="Arial" w:cs="Arial"/>
          <w:sz w:val="20"/>
          <w:szCs w:val="20"/>
        </w:rPr>
        <w:t>3.5</w:t>
      </w:r>
      <w:r w:rsidRPr="008C40E9">
        <w:rPr>
          <w:rFonts w:ascii="Arial" w:hAnsi="Arial" w:cs="Arial"/>
          <w:sz w:val="20"/>
          <w:szCs w:val="20"/>
        </w:rPr>
        <w:t xml:space="preserve"> pence was paid in relation to the year ended 30 June 201</w:t>
      </w:r>
      <w:r w:rsidR="0090489E" w:rsidRPr="008C40E9">
        <w:rPr>
          <w:rFonts w:ascii="Arial" w:hAnsi="Arial" w:cs="Arial"/>
          <w:sz w:val="20"/>
          <w:szCs w:val="20"/>
        </w:rPr>
        <w:t>2</w:t>
      </w:r>
      <w:r w:rsidRPr="008C40E9">
        <w:rPr>
          <w:rFonts w:ascii="Arial" w:hAnsi="Arial" w:cs="Arial"/>
          <w:sz w:val="20"/>
          <w:szCs w:val="20"/>
        </w:rPr>
        <w:t xml:space="preserve"> on </w:t>
      </w:r>
      <w:r w:rsidR="004179AB" w:rsidRPr="008C40E9">
        <w:rPr>
          <w:rFonts w:ascii="Arial" w:hAnsi="Arial" w:cs="Arial"/>
          <w:sz w:val="20"/>
          <w:szCs w:val="20"/>
        </w:rPr>
        <w:t>23</w:t>
      </w:r>
      <w:r w:rsidR="0070692E" w:rsidRPr="008C40E9">
        <w:rPr>
          <w:rFonts w:ascii="Arial" w:hAnsi="Arial" w:cs="Arial"/>
          <w:sz w:val="20"/>
          <w:szCs w:val="20"/>
        </w:rPr>
        <w:t xml:space="preserve"> Novem</w:t>
      </w:r>
      <w:r w:rsidRPr="008C40E9">
        <w:rPr>
          <w:rFonts w:ascii="Arial" w:hAnsi="Arial" w:cs="Arial"/>
          <w:sz w:val="20"/>
          <w:szCs w:val="20"/>
        </w:rPr>
        <w:t>ber 201</w:t>
      </w:r>
      <w:r w:rsidR="0090489E" w:rsidRPr="008C40E9">
        <w:rPr>
          <w:rFonts w:ascii="Arial" w:hAnsi="Arial" w:cs="Arial"/>
          <w:sz w:val="20"/>
          <w:szCs w:val="20"/>
        </w:rPr>
        <w:t>2</w:t>
      </w:r>
      <w:r w:rsidR="0070692E" w:rsidRPr="008C40E9">
        <w:rPr>
          <w:rFonts w:ascii="Arial" w:hAnsi="Arial" w:cs="Arial"/>
          <w:sz w:val="20"/>
          <w:szCs w:val="20"/>
        </w:rPr>
        <w:t>.</w:t>
      </w:r>
    </w:p>
    <w:p w:rsidR="006776DE" w:rsidRPr="008C40E9" w:rsidRDefault="006776DE" w:rsidP="008C40E9">
      <w:pPr>
        <w:spacing w:after="60"/>
        <w:jc w:val="both"/>
        <w:rPr>
          <w:rFonts w:ascii="Arial" w:hAnsi="Arial" w:cs="Arial"/>
          <w:sz w:val="20"/>
          <w:szCs w:val="20"/>
        </w:rPr>
      </w:pPr>
    </w:p>
    <w:p w:rsidR="006776DE" w:rsidRPr="008C40E9" w:rsidRDefault="006776DE" w:rsidP="008C40E9">
      <w:pPr>
        <w:spacing w:after="60"/>
        <w:jc w:val="both"/>
        <w:rPr>
          <w:rFonts w:ascii="Arial" w:hAnsi="Arial" w:cs="Arial"/>
          <w:sz w:val="20"/>
          <w:szCs w:val="20"/>
        </w:rPr>
      </w:pPr>
      <w:r w:rsidRPr="008C40E9">
        <w:rPr>
          <w:rFonts w:ascii="Arial" w:hAnsi="Arial" w:cs="Arial"/>
          <w:sz w:val="20"/>
          <w:szCs w:val="20"/>
        </w:rPr>
        <w:t xml:space="preserve">The Financial Information was approved by the Board of Directors on </w:t>
      </w:r>
      <w:r w:rsidR="0070692E" w:rsidRPr="008C40E9">
        <w:rPr>
          <w:rFonts w:ascii="Arial" w:hAnsi="Arial" w:cs="Arial"/>
          <w:sz w:val="20"/>
          <w:szCs w:val="20"/>
        </w:rPr>
        <w:t>1</w:t>
      </w:r>
      <w:r w:rsidR="0090489E" w:rsidRPr="008C40E9">
        <w:rPr>
          <w:rFonts w:ascii="Arial" w:hAnsi="Arial" w:cs="Arial"/>
          <w:sz w:val="20"/>
          <w:szCs w:val="20"/>
        </w:rPr>
        <w:t>0</w:t>
      </w:r>
      <w:r w:rsidR="0070692E" w:rsidRPr="008C40E9">
        <w:rPr>
          <w:rFonts w:ascii="Arial" w:hAnsi="Arial" w:cs="Arial"/>
          <w:sz w:val="20"/>
          <w:szCs w:val="20"/>
        </w:rPr>
        <w:t xml:space="preserve"> April 201</w:t>
      </w:r>
      <w:r w:rsidR="0090489E" w:rsidRPr="008C40E9">
        <w:rPr>
          <w:rFonts w:ascii="Arial" w:hAnsi="Arial" w:cs="Arial"/>
          <w:sz w:val="20"/>
          <w:szCs w:val="20"/>
        </w:rPr>
        <w:t>3</w:t>
      </w:r>
      <w:r w:rsidRPr="008C40E9">
        <w:rPr>
          <w:rFonts w:ascii="Arial" w:hAnsi="Arial" w:cs="Arial"/>
          <w:sz w:val="20"/>
          <w:szCs w:val="20"/>
        </w:rPr>
        <w:t>.</w:t>
      </w:r>
    </w:p>
    <w:p w:rsidR="006776DE" w:rsidRPr="008C40E9" w:rsidRDefault="006776DE" w:rsidP="008C40E9">
      <w:pPr>
        <w:spacing w:after="60"/>
        <w:jc w:val="both"/>
        <w:rPr>
          <w:rFonts w:ascii="Arial" w:hAnsi="Arial" w:cs="Arial"/>
          <w:sz w:val="20"/>
          <w:szCs w:val="20"/>
        </w:rPr>
      </w:pPr>
    </w:p>
    <w:p w:rsidR="006776DE" w:rsidRPr="008C40E9" w:rsidRDefault="006776DE" w:rsidP="008C40E9">
      <w:pPr>
        <w:spacing w:after="60"/>
        <w:jc w:val="both"/>
        <w:rPr>
          <w:rFonts w:ascii="Arial" w:hAnsi="Arial" w:cs="Arial"/>
          <w:sz w:val="20"/>
          <w:szCs w:val="20"/>
        </w:rPr>
      </w:pPr>
      <w:r w:rsidRPr="008C40E9">
        <w:rPr>
          <w:rFonts w:ascii="Arial" w:hAnsi="Arial" w:cs="Arial"/>
          <w:sz w:val="20"/>
          <w:szCs w:val="20"/>
        </w:rPr>
        <w:t>The Financial Information has not been subject to review or audit by the Group's Auditor PricewaterhouseCoopers</w:t>
      </w:r>
      <w:r w:rsidR="0070692E" w:rsidRPr="008C40E9">
        <w:rPr>
          <w:rFonts w:ascii="Arial" w:hAnsi="Arial" w:cs="Arial"/>
          <w:sz w:val="20"/>
          <w:szCs w:val="20"/>
        </w:rPr>
        <w:t xml:space="preserve"> CI LLP</w:t>
      </w:r>
      <w:r w:rsidRPr="008C40E9">
        <w:rPr>
          <w:rFonts w:ascii="Arial" w:hAnsi="Arial" w:cs="Arial"/>
          <w:sz w:val="20"/>
          <w:szCs w:val="20"/>
        </w:rPr>
        <w:t>.</w:t>
      </w:r>
    </w:p>
    <w:p w:rsidR="006776DE" w:rsidRPr="008C40E9" w:rsidRDefault="006776DE" w:rsidP="008C40E9">
      <w:pPr>
        <w:spacing w:after="60"/>
        <w:jc w:val="both"/>
        <w:rPr>
          <w:rFonts w:ascii="Arial" w:hAnsi="Arial" w:cs="Arial"/>
          <w:sz w:val="20"/>
          <w:szCs w:val="20"/>
        </w:rPr>
      </w:pPr>
    </w:p>
    <w:p w:rsidR="0070692E" w:rsidRPr="008C40E9" w:rsidRDefault="0070692E" w:rsidP="008C40E9">
      <w:pPr>
        <w:spacing w:after="60"/>
        <w:jc w:val="both"/>
        <w:rPr>
          <w:rFonts w:ascii="Arial" w:hAnsi="Arial" w:cs="Arial"/>
          <w:sz w:val="20"/>
          <w:szCs w:val="20"/>
        </w:rPr>
      </w:pPr>
      <w:r w:rsidRPr="008C40E9">
        <w:rPr>
          <w:rFonts w:ascii="Arial" w:hAnsi="Arial" w:cs="Arial"/>
          <w:sz w:val="20"/>
          <w:szCs w:val="20"/>
        </w:rPr>
        <w:t>El Oro Ltd is listed on the Channel Islands Stock Exchange (CISX) – ticker (ELX).</w:t>
      </w:r>
    </w:p>
    <w:p w:rsidR="0070692E" w:rsidRPr="008C40E9" w:rsidRDefault="0070692E" w:rsidP="008C40E9">
      <w:pPr>
        <w:spacing w:after="60"/>
        <w:jc w:val="both"/>
        <w:rPr>
          <w:rFonts w:ascii="Arial" w:hAnsi="Arial" w:cs="Arial"/>
          <w:sz w:val="20"/>
          <w:szCs w:val="20"/>
        </w:rPr>
      </w:pPr>
    </w:p>
    <w:p w:rsidR="0070692E" w:rsidRPr="008C40E9" w:rsidRDefault="006776DE" w:rsidP="008C40E9">
      <w:pPr>
        <w:spacing w:after="60"/>
        <w:jc w:val="both"/>
        <w:rPr>
          <w:rFonts w:ascii="Arial" w:hAnsi="Arial" w:cs="Arial"/>
          <w:sz w:val="20"/>
          <w:szCs w:val="20"/>
        </w:rPr>
      </w:pPr>
      <w:r w:rsidRPr="008C40E9">
        <w:rPr>
          <w:rFonts w:ascii="Arial" w:hAnsi="Arial" w:cs="Arial"/>
          <w:sz w:val="20"/>
          <w:szCs w:val="20"/>
        </w:rPr>
        <w:t xml:space="preserve">El Oro Ltd </w:t>
      </w:r>
      <w:r w:rsidR="0070692E" w:rsidRPr="008C40E9">
        <w:rPr>
          <w:rFonts w:ascii="Arial" w:hAnsi="Arial" w:cs="Arial"/>
          <w:sz w:val="20"/>
          <w:szCs w:val="20"/>
        </w:rPr>
        <w:t>was admitted to trading on the Stock Exchange Electronic Trading System ("SETSqx") of the London Stock Exchange during June 2011 (ticker ELX).</w:t>
      </w:r>
    </w:p>
    <w:p w:rsidR="006776DE" w:rsidRPr="008C40E9" w:rsidRDefault="006776DE" w:rsidP="008C40E9">
      <w:pPr>
        <w:jc w:val="both"/>
        <w:rPr>
          <w:rFonts w:ascii="Arial" w:hAnsi="Arial" w:cs="Arial"/>
          <w:sz w:val="20"/>
          <w:szCs w:val="20"/>
        </w:rPr>
      </w:pPr>
    </w:p>
    <w:tbl>
      <w:tblPr>
        <w:tblW w:w="9923" w:type="dxa"/>
        <w:tblInd w:w="108" w:type="dxa"/>
        <w:tblLook w:val="04A0"/>
      </w:tblPr>
      <w:tblGrid>
        <w:gridCol w:w="5954"/>
        <w:gridCol w:w="1843"/>
        <w:gridCol w:w="2126"/>
      </w:tblGrid>
      <w:tr w:rsidR="00E838C1" w:rsidRPr="008C40E9" w:rsidTr="00E838C1">
        <w:tc>
          <w:tcPr>
            <w:tcW w:w="5954" w:type="dxa"/>
            <w:tcBorders>
              <w:top w:val="nil"/>
              <w:left w:val="nil"/>
              <w:bottom w:val="nil"/>
              <w:right w:val="nil"/>
            </w:tcBorders>
            <w:shd w:val="clear" w:color="auto" w:fill="auto"/>
            <w:noWrap/>
            <w:vAlign w:val="center"/>
          </w:tcPr>
          <w:p w:rsidR="00E838C1" w:rsidRPr="008C40E9" w:rsidRDefault="00E838C1" w:rsidP="008C40E9">
            <w:pPr>
              <w:jc w:val="both"/>
              <w:rPr>
                <w:rFonts w:ascii="Arial" w:hAnsi="Arial" w:cs="Arial"/>
                <w:sz w:val="20"/>
                <w:szCs w:val="20"/>
              </w:rPr>
            </w:pPr>
          </w:p>
          <w:p w:rsidR="00E838C1" w:rsidRPr="008C40E9" w:rsidRDefault="00E838C1" w:rsidP="008C40E9">
            <w:pPr>
              <w:jc w:val="both"/>
              <w:rPr>
                <w:rFonts w:ascii="Arial" w:hAnsi="Arial" w:cs="Arial"/>
                <w:b/>
                <w:bCs/>
                <w:sz w:val="20"/>
                <w:szCs w:val="20"/>
                <w:lang w:eastAsia="en-GB"/>
              </w:rPr>
            </w:pPr>
            <w:r w:rsidRPr="008C40E9">
              <w:rPr>
                <w:rFonts w:ascii="Arial" w:hAnsi="Arial" w:cs="Arial"/>
                <w:sz w:val="20"/>
                <w:szCs w:val="20"/>
              </w:rPr>
              <w:t xml:space="preserve">CASH </w:t>
            </w:r>
            <w:smartTag w:uri="urn:schemas-microsoft-com:office:smarttags" w:element="stockticker">
              <w:r w:rsidRPr="008C40E9">
                <w:rPr>
                  <w:rFonts w:ascii="Arial" w:hAnsi="Arial" w:cs="Arial"/>
                  <w:sz w:val="20"/>
                  <w:szCs w:val="20"/>
                </w:rPr>
                <w:t>AND</w:t>
              </w:r>
            </w:smartTag>
            <w:r w:rsidRPr="008C40E9">
              <w:rPr>
                <w:rFonts w:ascii="Arial" w:hAnsi="Arial" w:cs="Arial"/>
                <w:sz w:val="20"/>
                <w:szCs w:val="20"/>
              </w:rPr>
              <w:t xml:space="preserve"> </w:t>
            </w:r>
            <w:smartTag w:uri="urn:schemas-microsoft-com:office:smarttags" w:element="stockticker">
              <w:r w:rsidRPr="008C40E9">
                <w:rPr>
                  <w:rFonts w:ascii="Arial" w:hAnsi="Arial" w:cs="Arial"/>
                  <w:sz w:val="20"/>
                  <w:szCs w:val="20"/>
                </w:rPr>
                <w:t>CASH</w:t>
              </w:r>
            </w:smartTag>
            <w:r w:rsidRPr="008C40E9">
              <w:rPr>
                <w:rFonts w:ascii="Arial" w:hAnsi="Arial" w:cs="Arial"/>
                <w:sz w:val="20"/>
                <w:szCs w:val="20"/>
              </w:rPr>
              <w:t xml:space="preserve"> EQUIVALENTS</w:t>
            </w:r>
          </w:p>
        </w:tc>
        <w:tc>
          <w:tcPr>
            <w:tcW w:w="1843" w:type="dxa"/>
            <w:tcBorders>
              <w:top w:val="nil"/>
              <w:left w:val="nil"/>
              <w:bottom w:val="nil"/>
              <w:right w:val="nil"/>
            </w:tcBorders>
            <w:shd w:val="clear" w:color="auto" w:fill="auto"/>
            <w:noWrap/>
            <w:vAlign w:val="bottom"/>
          </w:tcPr>
          <w:p w:rsidR="00E838C1" w:rsidRPr="008C40E9" w:rsidRDefault="00E838C1"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31 December 2012</w:t>
            </w:r>
          </w:p>
          <w:p w:rsidR="00E838C1" w:rsidRPr="008C40E9" w:rsidRDefault="00E838C1"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w:t>
            </w:r>
          </w:p>
        </w:tc>
        <w:tc>
          <w:tcPr>
            <w:tcW w:w="2126" w:type="dxa"/>
            <w:tcBorders>
              <w:top w:val="nil"/>
              <w:left w:val="nil"/>
              <w:bottom w:val="nil"/>
              <w:right w:val="nil"/>
            </w:tcBorders>
            <w:vAlign w:val="bottom"/>
          </w:tcPr>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31 December 2011</w:t>
            </w:r>
          </w:p>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w:t>
            </w:r>
          </w:p>
        </w:tc>
      </w:tr>
      <w:tr w:rsidR="00E838C1" w:rsidRPr="008C40E9" w:rsidTr="00E838C1">
        <w:trPr>
          <w:trHeight w:val="438"/>
        </w:trPr>
        <w:tc>
          <w:tcPr>
            <w:tcW w:w="5954" w:type="dxa"/>
            <w:tcBorders>
              <w:top w:val="nil"/>
              <w:left w:val="nil"/>
              <w:bottom w:val="nil"/>
              <w:right w:val="nil"/>
            </w:tcBorders>
            <w:shd w:val="clear" w:color="auto" w:fill="auto"/>
            <w:noWrap/>
            <w:vAlign w:val="bottom"/>
          </w:tcPr>
          <w:p w:rsidR="00E838C1" w:rsidRPr="008C40E9" w:rsidRDefault="00E838C1" w:rsidP="008C40E9">
            <w:pPr>
              <w:jc w:val="both"/>
              <w:rPr>
                <w:rFonts w:ascii="Arial" w:hAnsi="Arial" w:cs="Arial"/>
                <w:sz w:val="20"/>
                <w:szCs w:val="20"/>
                <w:lang w:eastAsia="en-GB"/>
              </w:rPr>
            </w:pPr>
            <w:r w:rsidRPr="008C40E9">
              <w:rPr>
                <w:rFonts w:ascii="Arial" w:hAnsi="Arial" w:cs="Arial"/>
                <w:sz w:val="20"/>
                <w:szCs w:val="20"/>
                <w:lang w:eastAsia="en-GB"/>
              </w:rPr>
              <w:t>Cash available on demand</w:t>
            </w:r>
          </w:p>
        </w:tc>
        <w:tc>
          <w:tcPr>
            <w:tcW w:w="1843" w:type="dxa"/>
            <w:tcBorders>
              <w:top w:val="nil"/>
              <w:left w:val="nil"/>
              <w:bottom w:val="nil"/>
              <w:right w:val="nil"/>
            </w:tcBorders>
            <w:shd w:val="clear" w:color="auto" w:fill="auto"/>
            <w:noWrap/>
            <w:vAlign w:val="bottom"/>
          </w:tcPr>
          <w:p w:rsidR="00E838C1" w:rsidRPr="008C40E9" w:rsidRDefault="00CC75D9"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2,248,596</w:t>
            </w:r>
          </w:p>
        </w:tc>
        <w:tc>
          <w:tcPr>
            <w:tcW w:w="2126" w:type="dxa"/>
            <w:tcBorders>
              <w:top w:val="nil"/>
              <w:left w:val="nil"/>
              <w:bottom w:val="nil"/>
              <w:right w:val="nil"/>
            </w:tcBorders>
            <w:vAlign w:val="bottom"/>
          </w:tcPr>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2,873,914</w:t>
            </w:r>
          </w:p>
        </w:tc>
      </w:tr>
      <w:tr w:rsidR="00E838C1" w:rsidRPr="008C40E9" w:rsidTr="00E838C1">
        <w:trPr>
          <w:trHeight w:val="284"/>
        </w:trPr>
        <w:tc>
          <w:tcPr>
            <w:tcW w:w="5954" w:type="dxa"/>
            <w:tcBorders>
              <w:top w:val="nil"/>
              <w:left w:val="nil"/>
              <w:right w:val="nil"/>
            </w:tcBorders>
            <w:shd w:val="clear" w:color="auto" w:fill="auto"/>
            <w:noWrap/>
            <w:vAlign w:val="center"/>
          </w:tcPr>
          <w:p w:rsidR="00E838C1" w:rsidRPr="008C40E9" w:rsidRDefault="00E838C1" w:rsidP="008C40E9">
            <w:pPr>
              <w:jc w:val="both"/>
              <w:rPr>
                <w:rFonts w:ascii="Arial" w:hAnsi="Arial" w:cs="Arial"/>
                <w:sz w:val="20"/>
                <w:szCs w:val="20"/>
                <w:lang w:eastAsia="en-GB"/>
              </w:rPr>
            </w:pPr>
            <w:r w:rsidRPr="008C40E9">
              <w:rPr>
                <w:rFonts w:ascii="Arial" w:hAnsi="Arial" w:cs="Arial"/>
                <w:sz w:val="20"/>
                <w:szCs w:val="20"/>
                <w:lang w:eastAsia="en-GB"/>
              </w:rPr>
              <w:t>Bank overdrafts</w:t>
            </w:r>
          </w:p>
        </w:tc>
        <w:tc>
          <w:tcPr>
            <w:tcW w:w="1843" w:type="dxa"/>
            <w:tcBorders>
              <w:top w:val="nil"/>
              <w:left w:val="nil"/>
              <w:right w:val="nil"/>
            </w:tcBorders>
            <w:shd w:val="clear" w:color="auto" w:fill="auto"/>
            <w:noWrap/>
            <w:vAlign w:val="center"/>
          </w:tcPr>
          <w:p w:rsidR="00E838C1" w:rsidRPr="008C40E9" w:rsidRDefault="00CC75D9"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w:t>
            </w:r>
            <w:r w:rsidR="0088500B" w:rsidRPr="008C40E9">
              <w:rPr>
                <w:rFonts w:ascii="Arial" w:hAnsi="Arial" w:cs="Arial"/>
                <w:b/>
                <w:bCs/>
                <w:sz w:val="20"/>
                <w:szCs w:val="20"/>
                <w:lang w:eastAsia="en-GB"/>
              </w:rPr>
              <w:t>4,876,478)</w:t>
            </w:r>
          </w:p>
        </w:tc>
        <w:tc>
          <w:tcPr>
            <w:tcW w:w="2126" w:type="dxa"/>
            <w:tcBorders>
              <w:top w:val="nil"/>
              <w:left w:val="nil"/>
              <w:right w:val="nil"/>
            </w:tcBorders>
            <w:vAlign w:val="center"/>
          </w:tcPr>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(2,365,035)</w:t>
            </w:r>
          </w:p>
        </w:tc>
      </w:tr>
      <w:tr w:rsidR="00E838C1" w:rsidRPr="008C40E9" w:rsidTr="00E838C1">
        <w:trPr>
          <w:trHeight w:val="284"/>
        </w:trPr>
        <w:tc>
          <w:tcPr>
            <w:tcW w:w="5954" w:type="dxa"/>
            <w:tcBorders>
              <w:top w:val="nil"/>
              <w:left w:val="nil"/>
              <w:bottom w:val="single" w:sz="4" w:space="0" w:color="auto"/>
              <w:right w:val="nil"/>
            </w:tcBorders>
            <w:shd w:val="clear" w:color="auto" w:fill="auto"/>
            <w:noWrap/>
            <w:vAlign w:val="center"/>
          </w:tcPr>
          <w:p w:rsidR="00E838C1" w:rsidRPr="008C40E9" w:rsidRDefault="00E838C1" w:rsidP="008C40E9">
            <w:pPr>
              <w:jc w:val="both"/>
              <w:rPr>
                <w:rFonts w:ascii="Arial" w:hAnsi="Arial" w:cs="Arial"/>
                <w:sz w:val="20"/>
                <w:szCs w:val="20"/>
                <w:lang w:eastAsia="en-GB"/>
              </w:rPr>
            </w:pPr>
            <w:r w:rsidRPr="008C40E9">
              <w:rPr>
                <w:rFonts w:ascii="Arial" w:hAnsi="Arial" w:cs="Arial"/>
                <w:sz w:val="20"/>
                <w:szCs w:val="20"/>
                <w:lang w:eastAsia="en-GB"/>
              </w:rPr>
              <w:t>Amounts due to brokers</w:t>
            </w:r>
          </w:p>
        </w:tc>
        <w:tc>
          <w:tcPr>
            <w:tcW w:w="1843" w:type="dxa"/>
            <w:tcBorders>
              <w:top w:val="nil"/>
              <w:left w:val="nil"/>
              <w:bottom w:val="single" w:sz="4" w:space="0" w:color="auto"/>
              <w:right w:val="nil"/>
            </w:tcBorders>
            <w:shd w:val="clear" w:color="auto" w:fill="auto"/>
            <w:noWrap/>
            <w:vAlign w:val="center"/>
          </w:tcPr>
          <w:p w:rsidR="00E838C1" w:rsidRPr="008C40E9" w:rsidRDefault="0088500B"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(265,964)</w:t>
            </w:r>
          </w:p>
        </w:tc>
        <w:tc>
          <w:tcPr>
            <w:tcW w:w="2126" w:type="dxa"/>
            <w:tcBorders>
              <w:top w:val="nil"/>
              <w:left w:val="nil"/>
              <w:bottom w:val="nil"/>
              <w:right w:val="nil"/>
            </w:tcBorders>
            <w:vAlign w:val="center"/>
          </w:tcPr>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(272,823)</w:t>
            </w:r>
          </w:p>
        </w:tc>
      </w:tr>
      <w:tr w:rsidR="00E838C1" w:rsidRPr="008C40E9" w:rsidTr="00E838C1">
        <w:trPr>
          <w:trHeight w:val="330"/>
        </w:trPr>
        <w:tc>
          <w:tcPr>
            <w:tcW w:w="5954" w:type="dxa"/>
            <w:tcBorders>
              <w:top w:val="single" w:sz="4" w:space="0" w:color="auto"/>
              <w:left w:val="nil"/>
              <w:bottom w:val="single" w:sz="4" w:space="0" w:color="auto"/>
              <w:right w:val="nil"/>
            </w:tcBorders>
            <w:shd w:val="clear" w:color="auto" w:fill="auto"/>
            <w:noWrap/>
            <w:vAlign w:val="center"/>
          </w:tcPr>
          <w:p w:rsidR="00E838C1" w:rsidRPr="008C40E9" w:rsidRDefault="00222A3E" w:rsidP="008C40E9">
            <w:pPr>
              <w:jc w:val="both"/>
              <w:rPr>
                <w:rFonts w:ascii="Arial" w:hAnsi="Arial" w:cs="Arial"/>
                <w:sz w:val="20"/>
                <w:szCs w:val="20"/>
                <w:lang w:eastAsia="en-GB"/>
              </w:rPr>
            </w:pPr>
            <w:r w:rsidRPr="008C40E9">
              <w:rPr>
                <w:rFonts w:ascii="Arial" w:hAnsi="Arial" w:cs="Arial"/>
                <w:b/>
                <w:bCs/>
                <w:sz w:val="20"/>
                <w:szCs w:val="20"/>
                <w:lang w:eastAsia="en-GB"/>
              </w:rPr>
              <w:t>As at 31 December</w:t>
            </w:r>
          </w:p>
        </w:tc>
        <w:tc>
          <w:tcPr>
            <w:tcW w:w="1843" w:type="dxa"/>
            <w:tcBorders>
              <w:top w:val="single" w:sz="4" w:space="0" w:color="auto"/>
              <w:left w:val="nil"/>
              <w:bottom w:val="single" w:sz="4" w:space="0" w:color="auto"/>
              <w:right w:val="nil"/>
            </w:tcBorders>
            <w:shd w:val="clear" w:color="auto" w:fill="auto"/>
            <w:noWrap/>
            <w:vAlign w:val="center"/>
          </w:tcPr>
          <w:p w:rsidR="00E838C1" w:rsidRPr="008C40E9" w:rsidRDefault="0088500B" w:rsidP="00707395">
            <w:pPr>
              <w:ind w:left="34" w:hanging="34"/>
              <w:jc w:val="right"/>
              <w:rPr>
                <w:rFonts w:ascii="Arial" w:hAnsi="Arial" w:cs="Arial"/>
                <w:b/>
                <w:bCs/>
                <w:sz w:val="20"/>
                <w:szCs w:val="20"/>
                <w:lang w:eastAsia="en-GB"/>
              </w:rPr>
            </w:pPr>
            <w:r w:rsidRPr="008C40E9">
              <w:rPr>
                <w:rFonts w:ascii="Arial" w:hAnsi="Arial" w:cs="Arial"/>
                <w:b/>
                <w:bCs/>
                <w:sz w:val="20"/>
                <w:szCs w:val="20"/>
                <w:lang w:eastAsia="en-GB"/>
              </w:rPr>
              <w:t>(2,893,846)</w:t>
            </w:r>
          </w:p>
        </w:tc>
        <w:tc>
          <w:tcPr>
            <w:tcW w:w="2126" w:type="dxa"/>
            <w:tcBorders>
              <w:top w:val="single" w:sz="4" w:space="0" w:color="auto"/>
              <w:left w:val="nil"/>
              <w:bottom w:val="single" w:sz="4" w:space="0" w:color="auto"/>
              <w:right w:val="nil"/>
            </w:tcBorders>
            <w:vAlign w:val="center"/>
          </w:tcPr>
          <w:p w:rsidR="00E838C1" w:rsidRPr="008C40E9" w:rsidRDefault="00E838C1" w:rsidP="00707395">
            <w:pPr>
              <w:ind w:left="34" w:hanging="34"/>
              <w:jc w:val="right"/>
              <w:rPr>
                <w:rFonts w:ascii="Arial" w:hAnsi="Arial" w:cs="Arial"/>
                <w:bCs/>
                <w:sz w:val="20"/>
                <w:szCs w:val="20"/>
                <w:lang w:eastAsia="en-GB"/>
              </w:rPr>
            </w:pPr>
            <w:r w:rsidRPr="008C40E9">
              <w:rPr>
                <w:rFonts w:ascii="Arial" w:hAnsi="Arial" w:cs="Arial"/>
                <w:bCs/>
                <w:sz w:val="20"/>
                <w:szCs w:val="20"/>
                <w:lang w:eastAsia="en-GB"/>
              </w:rPr>
              <w:t>236,056</w:t>
            </w:r>
          </w:p>
        </w:tc>
      </w:tr>
    </w:tbl>
    <w:p w:rsidR="006776DE" w:rsidRPr="008C40E9" w:rsidRDefault="006776DE" w:rsidP="008C40E9">
      <w:pPr>
        <w:jc w:val="both"/>
        <w:rPr>
          <w:rFonts w:ascii="Arial" w:hAnsi="Arial" w:cs="Arial"/>
          <w:sz w:val="20"/>
          <w:szCs w:val="20"/>
        </w:rPr>
      </w:pPr>
    </w:p>
    <w:tbl>
      <w:tblPr>
        <w:tblW w:w="9938" w:type="dxa"/>
        <w:tblInd w:w="93" w:type="dxa"/>
        <w:tblLook w:val="04A0"/>
      </w:tblPr>
      <w:tblGrid>
        <w:gridCol w:w="4800"/>
        <w:gridCol w:w="3012"/>
        <w:gridCol w:w="2126"/>
      </w:tblGrid>
      <w:tr w:rsidR="00E838C1" w:rsidRPr="008C40E9" w:rsidTr="00E838C1">
        <w:trPr>
          <w:trHeight w:val="300"/>
        </w:trPr>
        <w:tc>
          <w:tcPr>
            <w:tcW w:w="4800" w:type="dxa"/>
            <w:tcBorders>
              <w:top w:val="nil"/>
              <w:left w:val="nil"/>
              <w:bottom w:val="nil"/>
              <w:right w:val="nil"/>
            </w:tcBorders>
            <w:shd w:val="clear" w:color="auto" w:fill="auto"/>
            <w:noWrap/>
            <w:vAlign w:val="bottom"/>
          </w:tcPr>
          <w:p w:rsidR="00E838C1" w:rsidRPr="008C40E9" w:rsidRDefault="00E838C1" w:rsidP="008C40E9">
            <w:pPr>
              <w:jc w:val="both"/>
              <w:rPr>
                <w:rFonts w:ascii="Arial" w:hAnsi="Arial" w:cs="Arial"/>
                <w:sz w:val="20"/>
                <w:szCs w:val="20"/>
              </w:rPr>
            </w:pPr>
          </w:p>
          <w:p w:rsidR="00E838C1" w:rsidRPr="008C40E9" w:rsidRDefault="00E838C1" w:rsidP="008C40E9">
            <w:pPr>
              <w:jc w:val="both"/>
              <w:rPr>
                <w:rFonts w:ascii="Arial" w:hAnsi="Arial" w:cs="Arial"/>
                <w:sz w:val="20"/>
                <w:szCs w:val="20"/>
              </w:rPr>
            </w:pPr>
            <w:r w:rsidRPr="008C40E9">
              <w:rPr>
                <w:rFonts w:ascii="Arial" w:hAnsi="Arial" w:cs="Arial"/>
                <w:sz w:val="20"/>
                <w:szCs w:val="20"/>
              </w:rPr>
              <w:t>RESERVES</w:t>
            </w:r>
          </w:p>
        </w:tc>
        <w:tc>
          <w:tcPr>
            <w:tcW w:w="3012" w:type="dxa"/>
            <w:tcBorders>
              <w:top w:val="nil"/>
              <w:left w:val="nil"/>
              <w:bottom w:val="nil"/>
              <w:right w:val="nil"/>
            </w:tcBorders>
            <w:shd w:val="clear" w:color="auto" w:fill="auto"/>
            <w:noWrap/>
            <w:vAlign w:val="bottom"/>
          </w:tcPr>
          <w:p w:rsidR="00E838C1" w:rsidRPr="008C40E9" w:rsidRDefault="00E838C1" w:rsidP="00707395">
            <w:pPr>
              <w:jc w:val="right"/>
              <w:rPr>
                <w:rFonts w:ascii="Arial" w:hAnsi="Arial" w:cs="Arial"/>
                <w:b/>
                <w:bCs/>
                <w:sz w:val="20"/>
                <w:szCs w:val="20"/>
                <w:lang w:eastAsia="en-GB"/>
              </w:rPr>
            </w:pPr>
            <w:r w:rsidRPr="008C40E9">
              <w:rPr>
                <w:rFonts w:ascii="Arial" w:hAnsi="Arial" w:cs="Arial"/>
                <w:b/>
                <w:bCs/>
                <w:sz w:val="20"/>
                <w:szCs w:val="20"/>
                <w:lang w:eastAsia="en-GB"/>
              </w:rPr>
              <w:t>31 December 2012</w:t>
            </w:r>
          </w:p>
          <w:p w:rsidR="00E838C1" w:rsidRPr="008C40E9" w:rsidRDefault="00E838C1" w:rsidP="00707395">
            <w:pPr>
              <w:jc w:val="right"/>
              <w:rPr>
                <w:rFonts w:ascii="Arial" w:hAnsi="Arial" w:cs="Arial"/>
                <w:b/>
                <w:bCs/>
                <w:sz w:val="20"/>
                <w:szCs w:val="20"/>
                <w:lang w:eastAsia="en-GB"/>
              </w:rPr>
            </w:pPr>
            <w:r w:rsidRPr="008C40E9">
              <w:rPr>
                <w:rFonts w:ascii="Arial" w:hAnsi="Arial" w:cs="Arial"/>
                <w:b/>
                <w:bCs/>
                <w:sz w:val="20"/>
                <w:szCs w:val="20"/>
                <w:lang w:eastAsia="en-GB"/>
              </w:rPr>
              <w:t>£</w:t>
            </w:r>
          </w:p>
        </w:tc>
        <w:tc>
          <w:tcPr>
            <w:tcW w:w="2126" w:type="dxa"/>
            <w:tcBorders>
              <w:top w:val="nil"/>
              <w:left w:val="nil"/>
              <w:bottom w:val="nil"/>
              <w:right w:val="nil"/>
            </w:tcBorders>
            <w:vAlign w:val="bottom"/>
          </w:tcPr>
          <w:p w:rsidR="00E838C1" w:rsidRPr="008C40E9" w:rsidRDefault="00E838C1" w:rsidP="00707395">
            <w:pPr>
              <w:jc w:val="right"/>
              <w:rPr>
                <w:rFonts w:ascii="Arial" w:hAnsi="Arial" w:cs="Arial"/>
                <w:bCs/>
                <w:sz w:val="20"/>
                <w:szCs w:val="20"/>
                <w:lang w:eastAsia="en-GB"/>
              </w:rPr>
            </w:pPr>
            <w:r w:rsidRPr="008C40E9">
              <w:rPr>
                <w:rFonts w:ascii="Arial" w:hAnsi="Arial" w:cs="Arial"/>
                <w:bCs/>
                <w:sz w:val="20"/>
                <w:szCs w:val="20"/>
                <w:lang w:eastAsia="en-GB"/>
              </w:rPr>
              <w:t>31 December 2011</w:t>
            </w:r>
          </w:p>
          <w:p w:rsidR="00E838C1" w:rsidRPr="008C40E9" w:rsidRDefault="00E838C1" w:rsidP="00707395">
            <w:pPr>
              <w:jc w:val="right"/>
              <w:rPr>
                <w:rFonts w:ascii="Arial" w:hAnsi="Arial" w:cs="Arial"/>
                <w:bCs/>
                <w:sz w:val="20"/>
                <w:szCs w:val="20"/>
                <w:lang w:eastAsia="en-GB"/>
              </w:rPr>
            </w:pPr>
            <w:r w:rsidRPr="008C40E9">
              <w:rPr>
                <w:rFonts w:ascii="Arial" w:hAnsi="Arial" w:cs="Arial"/>
                <w:bCs/>
                <w:sz w:val="20"/>
                <w:szCs w:val="20"/>
                <w:lang w:eastAsia="en-GB"/>
              </w:rPr>
              <w:t>£</w:t>
            </w:r>
          </w:p>
        </w:tc>
      </w:tr>
      <w:tr w:rsidR="00E838C1" w:rsidRPr="008C40E9" w:rsidTr="00E838C1">
        <w:trPr>
          <w:trHeight w:val="300"/>
        </w:trPr>
        <w:tc>
          <w:tcPr>
            <w:tcW w:w="4800" w:type="dxa"/>
            <w:tcBorders>
              <w:top w:val="nil"/>
              <w:left w:val="nil"/>
              <w:bottom w:val="nil"/>
              <w:right w:val="nil"/>
            </w:tcBorders>
            <w:shd w:val="clear" w:color="auto" w:fill="auto"/>
            <w:noWrap/>
            <w:vAlign w:val="bottom"/>
          </w:tcPr>
          <w:p w:rsidR="00E838C1" w:rsidRPr="008C40E9" w:rsidRDefault="00E838C1" w:rsidP="008C40E9">
            <w:pPr>
              <w:jc w:val="both"/>
              <w:rPr>
                <w:rFonts w:ascii="Arial" w:hAnsi="Arial" w:cs="Arial"/>
                <w:b/>
                <w:bCs/>
                <w:sz w:val="20"/>
                <w:szCs w:val="20"/>
                <w:lang w:eastAsia="en-GB"/>
              </w:rPr>
            </w:pPr>
            <w:r w:rsidRPr="008C40E9">
              <w:rPr>
                <w:rFonts w:ascii="Arial" w:hAnsi="Arial" w:cs="Arial"/>
                <w:b/>
                <w:bCs/>
                <w:sz w:val="20"/>
                <w:szCs w:val="20"/>
                <w:lang w:eastAsia="en-GB"/>
              </w:rPr>
              <w:t>Retained earnings as at 30 June</w:t>
            </w:r>
          </w:p>
        </w:tc>
        <w:tc>
          <w:tcPr>
            <w:tcW w:w="3012" w:type="dxa"/>
            <w:tcBorders>
              <w:top w:val="nil"/>
              <w:left w:val="nil"/>
              <w:bottom w:val="nil"/>
              <w:right w:val="nil"/>
            </w:tcBorders>
            <w:shd w:val="clear" w:color="auto" w:fill="auto"/>
            <w:noWrap/>
            <w:vAlign w:val="center"/>
          </w:tcPr>
          <w:p w:rsidR="00E838C1" w:rsidRPr="008C40E9" w:rsidRDefault="0088500B" w:rsidP="00707395">
            <w:pPr>
              <w:jc w:val="right"/>
              <w:rPr>
                <w:rFonts w:ascii="Arial" w:hAnsi="Arial" w:cs="Arial"/>
                <w:b/>
                <w:bCs/>
                <w:sz w:val="20"/>
                <w:szCs w:val="20"/>
                <w:lang w:eastAsia="en-GB"/>
              </w:rPr>
            </w:pPr>
            <w:r w:rsidRPr="008C40E9">
              <w:rPr>
                <w:rFonts w:ascii="Arial" w:hAnsi="Arial" w:cs="Arial"/>
                <w:b/>
                <w:bCs/>
                <w:sz w:val="20"/>
                <w:szCs w:val="20"/>
                <w:lang w:eastAsia="en-GB"/>
              </w:rPr>
              <w:t>75,301,769</w:t>
            </w:r>
          </w:p>
        </w:tc>
        <w:tc>
          <w:tcPr>
            <w:tcW w:w="2126" w:type="dxa"/>
            <w:tcBorders>
              <w:top w:val="nil"/>
              <w:left w:val="nil"/>
              <w:bottom w:val="nil"/>
              <w:right w:val="nil"/>
            </w:tcBorders>
            <w:vAlign w:val="center"/>
          </w:tcPr>
          <w:p w:rsidR="00E838C1" w:rsidRPr="008C40E9" w:rsidRDefault="00E838C1" w:rsidP="00707395">
            <w:pPr>
              <w:jc w:val="right"/>
              <w:rPr>
                <w:rFonts w:ascii="Arial" w:hAnsi="Arial" w:cs="Arial"/>
                <w:bCs/>
                <w:sz w:val="20"/>
                <w:szCs w:val="20"/>
                <w:lang w:eastAsia="en-GB"/>
              </w:rPr>
            </w:pPr>
            <w:r w:rsidRPr="008C40E9">
              <w:rPr>
                <w:rFonts w:ascii="Arial" w:hAnsi="Arial" w:cs="Arial"/>
                <w:bCs/>
                <w:sz w:val="20"/>
                <w:szCs w:val="20"/>
                <w:lang w:eastAsia="en-GB"/>
              </w:rPr>
              <w:t>97,275,291</w:t>
            </w:r>
          </w:p>
        </w:tc>
      </w:tr>
      <w:tr w:rsidR="00E838C1" w:rsidRPr="008C40E9" w:rsidTr="00E838C1">
        <w:trPr>
          <w:trHeight w:val="300"/>
        </w:trPr>
        <w:tc>
          <w:tcPr>
            <w:tcW w:w="4800" w:type="dxa"/>
            <w:tcBorders>
              <w:top w:val="nil"/>
              <w:left w:val="nil"/>
              <w:bottom w:val="nil"/>
              <w:right w:val="nil"/>
            </w:tcBorders>
            <w:shd w:val="clear" w:color="auto" w:fill="auto"/>
            <w:noWrap/>
            <w:vAlign w:val="bottom"/>
          </w:tcPr>
          <w:p w:rsidR="00E838C1" w:rsidRPr="008C40E9" w:rsidRDefault="00E838C1" w:rsidP="008C40E9">
            <w:pPr>
              <w:jc w:val="both"/>
              <w:rPr>
                <w:rFonts w:ascii="Arial" w:hAnsi="Arial" w:cs="Arial"/>
                <w:sz w:val="20"/>
                <w:szCs w:val="20"/>
                <w:lang w:eastAsia="en-GB"/>
              </w:rPr>
            </w:pPr>
            <w:r w:rsidRPr="008C40E9">
              <w:rPr>
                <w:rFonts w:ascii="Arial" w:hAnsi="Arial" w:cs="Arial"/>
                <w:sz w:val="20"/>
                <w:szCs w:val="20"/>
                <w:lang w:eastAsia="en-GB"/>
              </w:rPr>
              <w:t>Total</w:t>
            </w:r>
            <w:r w:rsidR="0088500B" w:rsidRPr="008C40E9">
              <w:rPr>
                <w:rFonts w:ascii="Arial" w:hAnsi="Arial" w:cs="Arial"/>
                <w:sz w:val="20"/>
                <w:szCs w:val="20"/>
                <w:lang w:eastAsia="en-GB"/>
              </w:rPr>
              <w:t xml:space="preserve"> gains /</w:t>
            </w:r>
            <w:r w:rsidRPr="008C40E9">
              <w:rPr>
                <w:rFonts w:ascii="Arial" w:hAnsi="Arial" w:cs="Arial"/>
                <w:sz w:val="20"/>
                <w:szCs w:val="20"/>
                <w:lang w:eastAsia="en-GB"/>
              </w:rPr>
              <w:t xml:space="preserve"> (losses) for the period</w:t>
            </w:r>
          </w:p>
        </w:tc>
        <w:tc>
          <w:tcPr>
            <w:tcW w:w="3012" w:type="dxa"/>
            <w:tcBorders>
              <w:top w:val="nil"/>
              <w:left w:val="nil"/>
              <w:bottom w:val="nil"/>
              <w:right w:val="nil"/>
            </w:tcBorders>
            <w:shd w:val="clear" w:color="auto" w:fill="auto"/>
            <w:noWrap/>
            <w:vAlign w:val="center"/>
          </w:tcPr>
          <w:p w:rsidR="00E838C1" w:rsidRPr="008C40E9" w:rsidRDefault="0088500B" w:rsidP="00707395">
            <w:pPr>
              <w:jc w:val="right"/>
              <w:rPr>
                <w:rFonts w:ascii="Arial" w:hAnsi="Arial" w:cs="Arial"/>
                <w:sz w:val="20"/>
                <w:szCs w:val="20"/>
                <w:lang w:eastAsia="en-GB"/>
              </w:rPr>
            </w:pPr>
            <w:r w:rsidRPr="008C40E9">
              <w:rPr>
                <w:rFonts w:ascii="Arial" w:hAnsi="Arial" w:cs="Arial"/>
                <w:sz w:val="20"/>
                <w:szCs w:val="20"/>
                <w:lang w:eastAsia="en-GB"/>
              </w:rPr>
              <w:t>336,232</w:t>
            </w:r>
          </w:p>
        </w:tc>
        <w:tc>
          <w:tcPr>
            <w:tcW w:w="2126" w:type="dxa"/>
            <w:tcBorders>
              <w:top w:val="nil"/>
              <w:left w:val="nil"/>
              <w:bottom w:val="nil"/>
              <w:right w:val="nil"/>
            </w:tcBorders>
            <w:vAlign w:val="center"/>
          </w:tcPr>
          <w:p w:rsidR="00E838C1" w:rsidRPr="008C40E9" w:rsidRDefault="00E838C1" w:rsidP="00707395">
            <w:pPr>
              <w:jc w:val="right"/>
              <w:rPr>
                <w:rFonts w:ascii="Arial" w:hAnsi="Arial" w:cs="Arial"/>
                <w:sz w:val="20"/>
                <w:szCs w:val="20"/>
                <w:lang w:eastAsia="en-GB"/>
              </w:rPr>
            </w:pPr>
            <w:r w:rsidRPr="008C40E9">
              <w:rPr>
                <w:rFonts w:ascii="Arial" w:hAnsi="Arial" w:cs="Arial"/>
                <w:sz w:val="20"/>
                <w:szCs w:val="20"/>
                <w:lang w:eastAsia="en-GB"/>
              </w:rPr>
              <w:t>(12,099,613)</w:t>
            </w:r>
          </w:p>
        </w:tc>
      </w:tr>
      <w:tr w:rsidR="00E838C1" w:rsidRPr="008C40E9" w:rsidTr="00E838C1">
        <w:trPr>
          <w:trHeight w:val="300"/>
        </w:trPr>
        <w:tc>
          <w:tcPr>
            <w:tcW w:w="4800" w:type="dxa"/>
            <w:tcBorders>
              <w:top w:val="nil"/>
              <w:left w:val="nil"/>
              <w:bottom w:val="single" w:sz="4" w:space="0" w:color="auto"/>
              <w:right w:val="nil"/>
            </w:tcBorders>
            <w:shd w:val="clear" w:color="auto" w:fill="auto"/>
            <w:noWrap/>
            <w:vAlign w:val="bottom"/>
          </w:tcPr>
          <w:p w:rsidR="00E838C1" w:rsidRPr="008C40E9" w:rsidRDefault="00E838C1" w:rsidP="008C40E9">
            <w:pPr>
              <w:jc w:val="both"/>
              <w:rPr>
                <w:rFonts w:ascii="Arial" w:hAnsi="Arial" w:cs="Arial"/>
                <w:sz w:val="20"/>
                <w:szCs w:val="20"/>
                <w:lang w:eastAsia="en-GB"/>
              </w:rPr>
            </w:pPr>
            <w:r w:rsidRPr="008C40E9">
              <w:rPr>
                <w:rFonts w:ascii="Arial" w:hAnsi="Arial" w:cs="Arial"/>
                <w:sz w:val="20"/>
                <w:szCs w:val="20"/>
                <w:lang w:eastAsia="en-GB"/>
              </w:rPr>
              <w:t>Dividend paid (net)</w:t>
            </w:r>
          </w:p>
        </w:tc>
        <w:tc>
          <w:tcPr>
            <w:tcW w:w="3012" w:type="dxa"/>
            <w:tcBorders>
              <w:top w:val="nil"/>
              <w:left w:val="nil"/>
              <w:bottom w:val="single" w:sz="4" w:space="0" w:color="auto"/>
              <w:right w:val="nil"/>
            </w:tcBorders>
            <w:shd w:val="clear" w:color="auto" w:fill="auto"/>
            <w:noWrap/>
            <w:vAlign w:val="center"/>
          </w:tcPr>
          <w:p w:rsidR="00E838C1" w:rsidRPr="008C40E9" w:rsidRDefault="0088500B" w:rsidP="00707395">
            <w:pPr>
              <w:jc w:val="right"/>
              <w:rPr>
                <w:rFonts w:ascii="Arial" w:hAnsi="Arial" w:cs="Arial"/>
                <w:sz w:val="20"/>
                <w:szCs w:val="20"/>
                <w:lang w:eastAsia="en-GB"/>
              </w:rPr>
            </w:pPr>
            <w:r w:rsidRPr="008C40E9">
              <w:rPr>
                <w:rFonts w:ascii="Arial" w:hAnsi="Arial" w:cs="Arial"/>
                <w:sz w:val="20"/>
                <w:szCs w:val="20"/>
                <w:lang w:eastAsia="en-GB"/>
              </w:rPr>
              <w:t>(2,242,298)</w:t>
            </w:r>
          </w:p>
        </w:tc>
        <w:tc>
          <w:tcPr>
            <w:tcW w:w="2126" w:type="dxa"/>
            <w:tcBorders>
              <w:top w:val="nil"/>
              <w:left w:val="nil"/>
              <w:bottom w:val="single" w:sz="4" w:space="0" w:color="auto"/>
              <w:right w:val="nil"/>
            </w:tcBorders>
            <w:vAlign w:val="center"/>
          </w:tcPr>
          <w:p w:rsidR="00E838C1" w:rsidRPr="008C40E9" w:rsidRDefault="00E838C1" w:rsidP="00707395">
            <w:pPr>
              <w:jc w:val="right"/>
              <w:rPr>
                <w:rFonts w:ascii="Arial" w:hAnsi="Arial" w:cs="Arial"/>
                <w:sz w:val="20"/>
                <w:szCs w:val="20"/>
                <w:lang w:eastAsia="en-GB"/>
              </w:rPr>
            </w:pPr>
            <w:r w:rsidRPr="008C40E9">
              <w:rPr>
                <w:rFonts w:ascii="Arial" w:hAnsi="Arial" w:cs="Arial"/>
                <w:sz w:val="20"/>
                <w:szCs w:val="20"/>
                <w:lang w:eastAsia="en-GB"/>
              </w:rPr>
              <w:t>(2,251,049)</w:t>
            </w:r>
          </w:p>
        </w:tc>
      </w:tr>
      <w:tr w:rsidR="00E838C1" w:rsidRPr="008C40E9" w:rsidTr="00E838C1">
        <w:trPr>
          <w:trHeight w:val="405"/>
        </w:trPr>
        <w:tc>
          <w:tcPr>
            <w:tcW w:w="4800" w:type="dxa"/>
            <w:tcBorders>
              <w:top w:val="single" w:sz="4" w:space="0" w:color="auto"/>
              <w:left w:val="nil"/>
              <w:bottom w:val="single" w:sz="4" w:space="0" w:color="auto"/>
              <w:right w:val="nil"/>
            </w:tcBorders>
            <w:shd w:val="clear" w:color="auto" w:fill="auto"/>
            <w:noWrap/>
            <w:vAlign w:val="center"/>
          </w:tcPr>
          <w:p w:rsidR="00E838C1" w:rsidRPr="008C40E9" w:rsidRDefault="00E838C1" w:rsidP="008C40E9">
            <w:pPr>
              <w:jc w:val="both"/>
              <w:rPr>
                <w:rFonts w:ascii="Arial" w:hAnsi="Arial" w:cs="Arial"/>
                <w:b/>
                <w:bCs/>
                <w:sz w:val="20"/>
                <w:szCs w:val="20"/>
                <w:lang w:eastAsia="en-GB"/>
              </w:rPr>
            </w:pPr>
            <w:r w:rsidRPr="008C40E9">
              <w:rPr>
                <w:rFonts w:ascii="Arial" w:hAnsi="Arial" w:cs="Arial"/>
                <w:b/>
                <w:bCs/>
                <w:sz w:val="20"/>
                <w:szCs w:val="20"/>
                <w:lang w:eastAsia="en-GB"/>
              </w:rPr>
              <w:t>As at 31 December</w:t>
            </w:r>
          </w:p>
        </w:tc>
        <w:tc>
          <w:tcPr>
            <w:tcW w:w="3012" w:type="dxa"/>
            <w:tcBorders>
              <w:top w:val="single" w:sz="4" w:space="0" w:color="auto"/>
              <w:left w:val="nil"/>
              <w:bottom w:val="single" w:sz="4" w:space="0" w:color="auto"/>
              <w:right w:val="nil"/>
            </w:tcBorders>
            <w:shd w:val="clear" w:color="auto" w:fill="auto"/>
            <w:noWrap/>
            <w:vAlign w:val="center"/>
          </w:tcPr>
          <w:p w:rsidR="00E838C1" w:rsidRPr="008C40E9" w:rsidRDefault="0088500B" w:rsidP="00707395">
            <w:pPr>
              <w:jc w:val="right"/>
              <w:rPr>
                <w:rFonts w:ascii="Arial" w:hAnsi="Arial" w:cs="Arial"/>
                <w:b/>
                <w:bCs/>
                <w:sz w:val="20"/>
                <w:szCs w:val="20"/>
                <w:lang w:eastAsia="en-GB"/>
              </w:rPr>
            </w:pPr>
            <w:r w:rsidRPr="008C40E9">
              <w:rPr>
                <w:rFonts w:ascii="Arial" w:hAnsi="Arial" w:cs="Arial"/>
                <w:b/>
                <w:bCs/>
                <w:sz w:val="20"/>
                <w:szCs w:val="20"/>
                <w:lang w:eastAsia="en-GB"/>
              </w:rPr>
              <w:t>73,395,703</w:t>
            </w:r>
          </w:p>
        </w:tc>
        <w:tc>
          <w:tcPr>
            <w:tcW w:w="2126" w:type="dxa"/>
            <w:tcBorders>
              <w:top w:val="single" w:sz="4" w:space="0" w:color="auto"/>
              <w:left w:val="nil"/>
              <w:bottom w:val="single" w:sz="4" w:space="0" w:color="auto"/>
              <w:right w:val="nil"/>
            </w:tcBorders>
            <w:vAlign w:val="center"/>
          </w:tcPr>
          <w:p w:rsidR="00E838C1" w:rsidRPr="008C40E9" w:rsidRDefault="00E838C1" w:rsidP="00707395">
            <w:pPr>
              <w:jc w:val="right"/>
              <w:rPr>
                <w:rFonts w:ascii="Arial" w:hAnsi="Arial" w:cs="Arial"/>
                <w:bCs/>
                <w:sz w:val="20"/>
                <w:szCs w:val="20"/>
                <w:lang w:eastAsia="en-GB"/>
              </w:rPr>
            </w:pPr>
            <w:r w:rsidRPr="008C40E9">
              <w:rPr>
                <w:rFonts w:ascii="Arial" w:hAnsi="Arial" w:cs="Arial"/>
                <w:bCs/>
                <w:sz w:val="20"/>
                <w:szCs w:val="20"/>
                <w:lang w:eastAsia="en-GB"/>
              </w:rPr>
              <w:t>82,924,629</w:t>
            </w:r>
          </w:p>
        </w:tc>
      </w:tr>
    </w:tbl>
    <w:p w:rsidR="006776DE" w:rsidRPr="008C40E9" w:rsidRDefault="006776DE" w:rsidP="008C40E9">
      <w:pPr>
        <w:jc w:val="both"/>
        <w:rPr>
          <w:rFonts w:ascii="Arial" w:hAnsi="Arial" w:cs="Arial"/>
          <w:sz w:val="20"/>
          <w:szCs w:val="20"/>
        </w:rPr>
      </w:pPr>
    </w:p>
    <w:p w:rsidR="006776DE" w:rsidRPr="008C40E9" w:rsidRDefault="006776DE" w:rsidP="008C40E9">
      <w:pPr>
        <w:jc w:val="both"/>
        <w:rPr>
          <w:rFonts w:ascii="Arial" w:hAnsi="Arial" w:cs="Arial"/>
          <w:sz w:val="20"/>
          <w:szCs w:val="20"/>
        </w:rPr>
      </w:pPr>
      <w:r w:rsidRPr="008C40E9">
        <w:rPr>
          <w:rFonts w:ascii="Arial" w:hAnsi="Arial" w:cs="Arial"/>
          <w:sz w:val="20"/>
          <w:szCs w:val="20"/>
        </w:rPr>
        <w:t>The other reserves did not change during the period.</w:t>
      </w:r>
    </w:p>
    <w:p w:rsidR="00050BA0" w:rsidRPr="008C40E9" w:rsidRDefault="00050BA0" w:rsidP="008C40E9">
      <w:pPr>
        <w:jc w:val="both"/>
        <w:rPr>
          <w:rFonts w:ascii="Arial" w:hAnsi="Arial" w:cs="Arial"/>
          <w:sz w:val="20"/>
          <w:szCs w:val="20"/>
        </w:rPr>
      </w:pPr>
    </w:p>
    <w:sectPr w:rsidR="00050BA0" w:rsidRPr="008C40E9" w:rsidSect="0033646E">
      <w:footerReference w:type="default" r:id="rId8"/>
      <w:pgSz w:w="12240" w:h="15840" w:code="1"/>
      <w:pgMar w:top="851" w:right="1134" w:bottom="851" w:left="1134"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FD1" w:rsidRDefault="003D3FD1">
      <w:r>
        <w:separator/>
      </w:r>
    </w:p>
  </w:endnote>
  <w:endnote w:type="continuationSeparator" w:id="0">
    <w:p w:rsidR="003D3FD1" w:rsidRDefault="003D3FD1">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C75D9" w:rsidRPr="00DA0A5F" w:rsidRDefault="00CC75D9" w:rsidP="00DA0A5F">
    <w:pPr>
      <w:pStyle w:val="Footer"/>
      <w:tabs>
        <w:tab w:val="clear" w:pos="4320"/>
        <w:tab w:val="clear" w:pos="8640"/>
        <w:tab w:val="right" w:pos="9900"/>
      </w:tabs>
      <w:rPr>
        <w:rFonts w:ascii="Arial" w:hAnsi="Arial" w:cs="Arial"/>
        <w:sz w:val="16"/>
        <w:szCs w:val="16"/>
      </w:rPr>
    </w:pPr>
    <w:r w:rsidRPr="00DA0A5F">
      <w:rPr>
        <w:rFonts w:ascii="Arial" w:hAnsi="Arial" w:cs="Arial"/>
        <w:sz w:val="16"/>
        <w:szCs w:val="16"/>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FD1" w:rsidRDefault="003D3FD1">
      <w:r>
        <w:separator/>
      </w:r>
    </w:p>
  </w:footnote>
  <w:footnote w:type="continuationSeparator" w:id="0">
    <w:p w:rsidR="003D3FD1" w:rsidRDefault="003D3FD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8014E6D"/>
    <w:multiLevelType w:val="hybridMultilevel"/>
    <w:tmpl w:val="085865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nsid w:val="7634021F"/>
    <w:multiLevelType w:val="hybridMultilevel"/>
    <w:tmpl w:val="2FD8F84A"/>
    <w:lvl w:ilvl="0" w:tplc="84FC2CEE">
      <w:start w:val="31"/>
      <w:numFmt w:val="bullet"/>
      <w:lvlText w:val="-"/>
      <w:lvlJc w:val="left"/>
      <w:pPr>
        <w:ind w:left="600" w:hanging="360"/>
      </w:pPr>
      <w:rPr>
        <w:rFonts w:ascii="Arial" w:eastAsia="Times New Roman" w:hAnsi="Arial" w:cs="Arial" w:hint="default"/>
      </w:rPr>
    </w:lvl>
    <w:lvl w:ilvl="1" w:tplc="08090003" w:tentative="1">
      <w:start w:val="1"/>
      <w:numFmt w:val="bullet"/>
      <w:lvlText w:val="o"/>
      <w:lvlJc w:val="left"/>
      <w:pPr>
        <w:ind w:left="1320" w:hanging="360"/>
      </w:pPr>
      <w:rPr>
        <w:rFonts w:ascii="Courier New" w:hAnsi="Courier New" w:cs="Courier New" w:hint="default"/>
      </w:rPr>
    </w:lvl>
    <w:lvl w:ilvl="2" w:tplc="08090005" w:tentative="1">
      <w:start w:val="1"/>
      <w:numFmt w:val="bullet"/>
      <w:lvlText w:val=""/>
      <w:lvlJc w:val="left"/>
      <w:pPr>
        <w:ind w:left="2040" w:hanging="360"/>
      </w:pPr>
      <w:rPr>
        <w:rFonts w:ascii="Wingdings" w:hAnsi="Wingdings" w:hint="default"/>
      </w:rPr>
    </w:lvl>
    <w:lvl w:ilvl="3" w:tplc="08090001" w:tentative="1">
      <w:start w:val="1"/>
      <w:numFmt w:val="bullet"/>
      <w:lvlText w:val=""/>
      <w:lvlJc w:val="left"/>
      <w:pPr>
        <w:ind w:left="2760" w:hanging="360"/>
      </w:pPr>
      <w:rPr>
        <w:rFonts w:ascii="Symbol" w:hAnsi="Symbol" w:hint="default"/>
      </w:rPr>
    </w:lvl>
    <w:lvl w:ilvl="4" w:tplc="08090003" w:tentative="1">
      <w:start w:val="1"/>
      <w:numFmt w:val="bullet"/>
      <w:lvlText w:val="o"/>
      <w:lvlJc w:val="left"/>
      <w:pPr>
        <w:ind w:left="3480" w:hanging="360"/>
      </w:pPr>
      <w:rPr>
        <w:rFonts w:ascii="Courier New" w:hAnsi="Courier New" w:cs="Courier New" w:hint="default"/>
      </w:rPr>
    </w:lvl>
    <w:lvl w:ilvl="5" w:tplc="08090005" w:tentative="1">
      <w:start w:val="1"/>
      <w:numFmt w:val="bullet"/>
      <w:lvlText w:val=""/>
      <w:lvlJc w:val="left"/>
      <w:pPr>
        <w:ind w:left="4200" w:hanging="360"/>
      </w:pPr>
      <w:rPr>
        <w:rFonts w:ascii="Wingdings" w:hAnsi="Wingdings" w:hint="default"/>
      </w:rPr>
    </w:lvl>
    <w:lvl w:ilvl="6" w:tplc="08090001" w:tentative="1">
      <w:start w:val="1"/>
      <w:numFmt w:val="bullet"/>
      <w:lvlText w:val=""/>
      <w:lvlJc w:val="left"/>
      <w:pPr>
        <w:ind w:left="4920" w:hanging="360"/>
      </w:pPr>
      <w:rPr>
        <w:rFonts w:ascii="Symbol" w:hAnsi="Symbol" w:hint="default"/>
      </w:rPr>
    </w:lvl>
    <w:lvl w:ilvl="7" w:tplc="08090003" w:tentative="1">
      <w:start w:val="1"/>
      <w:numFmt w:val="bullet"/>
      <w:lvlText w:val="o"/>
      <w:lvlJc w:val="left"/>
      <w:pPr>
        <w:ind w:left="5640" w:hanging="360"/>
      </w:pPr>
      <w:rPr>
        <w:rFonts w:ascii="Courier New" w:hAnsi="Courier New" w:cs="Courier New" w:hint="default"/>
      </w:rPr>
    </w:lvl>
    <w:lvl w:ilvl="8" w:tplc="08090005" w:tentative="1">
      <w:start w:val="1"/>
      <w:numFmt w:val="bullet"/>
      <w:lvlText w:val=""/>
      <w:lvlJc w:val="left"/>
      <w:pPr>
        <w:ind w:left="636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5"/>
  <w:proofState w:spelling="clean" w:grammar="clean"/>
  <w:stylePaneFormatFilter w:val="3F01"/>
  <w:defaultTabStop w:val="720"/>
  <w:noPunctuationKerning/>
  <w:characterSpacingControl w:val="doNotCompress"/>
  <w:footnotePr>
    <w:footnote w:id="-1"/>
    <w:footnote w:id="0"/>
  </w:footnotePr>
  <w:endnotePr>
    <w:endnote w:id="-1"/>
    <w:endnote w:id="0"/>
  </w:endnotePr>
  <w:compat/>
  <w:rsids>
    <w:rsidRoot w:val="00BC76D8"/>
    <w:rsid w:val="000147BC"/>
    <w:rsid w:val="00030D91"/>
    <w:rsid w:val="00044D10"/>
    <w:rsid w:val="00050BA0"/>
    <w:rsid w:val="000568BF"/>
    <w:rsid w:val="0007208F"/>
    <w:rsid w:val="000A6FFB"/>
    <w:rsid w:val="000B04B5"/>
    <w:rsid w:val="001231DB"/>
    <w:rsid w:val="001303B9"/>
    <w:rsid w:val="00171A93"/>
    <w:rsid w:val="001E2892"/>
    <w:rsid w:val="001E4F2A"/>
    <w:rsid w:val="00222A3E"/>
    <w:rsid w:val="0028698A"/>
    <w:rsid w:val="002D6C66"/>
    <w:rsid w:val="002E1E51"/>
    <w:rsid w:val="002E72A2"/>
    <w:rsid w:val="002E7A28"/>
    <w:rsid w:val="00303082"/>
    <w:rsid w:val="0033646E"/>
    <w:rsid w:val="00336B86"/>
    <w:rsid w:val="00357784"/>
    <w:rsid w:val="003744AA"/>
    <w:rsid w:val="003D3FD1"/>
    <w:rsid w:val="003E3D57"/>
    <w:rsid w:val="0040236B"/>
    <w:rsid w:val="0040260B"/>
    <w:rsid w:val="00413841"/>
    <w:rsid w:val="0041675E"/>
    <w:rsid w:val="004179AB"/>
    <w:rsid w:val="004412AC"/>
    <w:rsid w:val="004468FD"/>
    <w:rsid w:val="004653D9"/>
    <w:rsid w:val="00516528"/>
    <w:rsid w:val="00530098"/>
    <w:rsid w:val="00564117"/>
    <w:rsid w:val="00582695"/>
    <w:rsid w:val="00587DE3"/>
    <w:rsid w:val="00595F13"/>
    <w:rsid w:val="005B16DD"/>
    <w:rsid w:val="005D3C1B"/>
    <w:rsid w:val="005F0383"/>
    <w:rsid w:val="00653B2C"/>
    <w:rsid w:val="006776DE"/>
    <w:rsid w:val="006903BE"/>
    <w:rsid w:val="006B5587"/>
    <w:rsid w:val="006C6525"/>
    <w:rsid w:val="006F7BF7"/>
    <w:rsid w:val="0070692E"/>
    <w:rsid w:val="00707395"/>
    <w:rsid w:val="00746A99"/>
    <w:rsid w:val="00755305"/>
    <w:rsid w:val="00760CD1"/>
    <w:rsid w:val="00777370"/>
    <w:rsid w:val="00794F41"/>
    <w:rsid w:val="007B1940"/>
    <w:rsid w:val="007C29E5"/>
    <w:rsid w:val="007E0F29"/>
    <w:rsid w:val="007E28C8"/>
    <w:rsid w:val="00805F9D"/>
    <w:rsid w:val="00807B2F"/>
    <w:rsid w:val="0088500B"/>
    <w:rsid w:val="008B0180"/>
    <w:rsid w:val="008B457C"/>
    <w:rsid w:val="008C40E9"/>
    <w:rsid w:val="008F7104"/>
    <w:rsid w:val="009001CA"/>
    <w:rsid w:val="0090489E"/>
    <w:rsid w:val="00917CAE"/>
    <w:rsid w:val="009255DF"/>
    <w:rsid w:val="00971EA5"/>
    <w:rsid w:val="009723B4"/>
    <w:rsid w:val="009B1052"/>
    <w:rsid w:val="009B49CE"/>
    <w:rsid w:val="009D7FE4"/>
    <w:rsid w:val="009F4985"/>
    <w:rsid w:val="00A3154F"/>
    <w:rsid w:val="00A42E52"/>
    <w:rsid w:val="00A50811"/>
    <w:rsid w:val="00A62BF0"/>
    <w:rsid w:val="00AC5556"/>
    <w:rsid w:val="00B4091D"/>
    <w:rsid w:val="00B56742"/>
    <w:rsid w:val="00BC76D8"/>
    <w:rsid w:val="00BE48C0"/>
    <w:rsid w:val="00C12C06"/>
    <w:rsid w:val="00C14389"/>
    <w:rsid w:val="00C4580A"/>
    <w:rsid w:val="00C63618"/>
    <w:rsid w:val="00C63AF8"/>
    <w:rsid w:val="00CA6056"/>
    <w:rsid w:val="00CB0E01"/>
    <w:rsid w:val="00CB2FE1"/>
    <w:rsid w:val="00CC75D9"/>
    <w:rsid w:val="00CE760A"/>
    <w:rsid w:val="00D752B4"/>
    <w:rsid w:val="00DA0A5F"/>
    <w:rsid w:val="00DC6F90"/>
    <w:rsid w:val="00E078EE"/>
    <w:rsid w:val="00E64844"/>
    <w:rsid w:val="00E767E0"/>
    <w:rsid w:val="00E838C1"/>
    <w:rsid w:val="00EA18F4"/>
    <w:rsid w:val="00EB4198"/>
    <w:rsid w:val="00ED42BC"/>
    <w:rsid w:val="00F22244"/>
    <w:rsid w:val="00F25224"/>
    <w:rsid w:val="00F31E5C"/>
    <w:rsid w:val="00F74131"/>
    <w:rsid w:val="00FB12E0"/>
    <w:rsid w:val="00FB264A"/>
    <w:rsid w:val="00FE2FF8"/>
    <w:rsid w:val="00FF49A1"/>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582695"/>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F31E5C"/>
    <w:rPr>
      <w:rFonts w:ascii="Tahoma" w:hAnsi="Tahoma" w:cs="Tahoma"/>
      <w:sz w:val="16"/>
      <w:szCs w:val="16"/>
    </w:rPr>
  </w:style>
  <w:style w:type="paragraph" w:styleId="Header">
    <w:name w:val="header"/>
    <w:basedOn w:val="Normal"/>
    <w:rsid w:val="00DA0A5F"/>
    <w:pPr>
      <w:tabs>
        <w:tab w:val="center" w:pos="4320"/>
        <w:tab w:val="right" w:pos="8640"/>
      </w:tabs>
    </w:pPr>
  </w:style>
  <w:style w:type="paragraph" w:styleId="Footer">
    <w:name w:val="footer"/>
    <w:basedOn w:val="Normal"/>
    <w:rsid w:val="00DA0A5F"/>
    <w:pPr>
      <w:tabs>
        <w:tab w:val="center" w:pos="4320"/>
        <w:tab w:val="right" w:pos="8640"/>
      </w:tabs>
    </w:pPr>
  </w:style>
  <w:style w:type="paragraph" w:styleId="PlainText">
    <w:name w:val="Plain Text"/>
    <w:basedOn w:val="Normal"/>
    <w:rsid w:val="0041675E"/>
    <w:rPr>
      <w:rFonts w:ascii="Courier New" w:hAnsi="Courier New" w:cs="Courier New"/>
      <w:sz w:val="20"/>
      <w:szCs w:val="20"/>
    </w:rPr>
  </w:style>
  <w:style w:type="paragraph" w:styleId="NormalWeb">
    <w:name w:val="Normal (Web)"/>
    <w:basedOn w:val="Normal"/>
    <w:rsid w:val="0041675E"/>
    <w:pPr>
      <w:spacing w:before="100" w:beforeAutospacing="1" w:after="100" w:afterAutospacing="1"/>
    </w:pPr>
    <w:rPr>
      <w:lang w:val="en-US"/>
    </w:rPr>
  </w:style>
  <w:style w:type="character" w:customStyle="1" w:styleId="EmailStyle20">
    <w:name w:val="EmailStyle201"/>
    <w:aliases w:val="EmailStyle201"/>
    <w:basedOn w:val="DefaultParagraphFont"/>
    <w:semiHidden/>
    <w:personal/>
    <w:personalCompose/>
    <w:rsid w:val="005B16DD"/>
    <w:rPr>
      <w:rFonts w:ascii="Arial" w:hAnsi="Arial" w:cs="Arial"/>
      <w:color w:val="auto"/>
      <w:sz w:val="20"/>
      <w:szCs w:val="20"/>
    </w:rPr>
  </w:style>
  <w:style w:type="character" w:styleId="Hyperlink">
    <w:name w:val="Hyperlink"/>
    <w:basedOn w:val="DefaultParagraphFont"/>
    <w:unhideWhenUsed/>
    <w:rsid w:val="004468FD"/>
    <w:rPr>
      <w:color w:val="0000FF"/>
      <w:u w:val="single"/>
    </w:rPr>
  </w:style>
</w:styles>
</file>

<file path=word/webSettings.xml><?xml version="1.0" encoding="utf-8"?>
<w:webSettings xmlns:r="http://schemas.openxmlformats.org/officeDocument/2006/relationships" xmlns:w="http://schemas.openxmlformats.org/wordprocessingml/2006/main">
  <w:divs>
    <w:div w:id="90853490">
      <w:bodyDiv w:val="1"/>
      <w:marLeft w:val="0"/>
      <w:marRight w:val="0"/>
      <w:marTop w:val="0"/>
      <w:marBottom w:val="0"/>
      <w:divBdr>
        <w:top w:val="none" w:sz="0" w:space="0" w:color="auto"/>
        <w:left w:val="none" w:sz="0" w:space="0" w:color="auto"/>
        <w:bottom w:val="none" w:sz="0" w:space="0" w:color="auto"/>
        <w:right w:val="none" w:sz="0" w:space="0" w:color="auto"/>
      </w:divBdr>
    </w:div>
    <w:div w:id="350496476">
      <w:bodyDiv w:val="1"/>
      <w:marLeft w:val="0"/>
      <w:marRight w:val="0"/>
      <w:marTop w:val="0"/>
      <w:marBottom w:val="0"/>
      <w:divBdr>
        <w:top w:val="none" w:sz="0" w:space="0" w:color="auto"/>
        <w:left w:val="none" w:sz="0" w:space="0" w:color="auto"/>
        <w:bottom w:val="none" w:sz="0" w:space="0" w:color="auto"/>
        <w:right w:val="none" w:sz="0" w:space="0" w:color="auto"/>
      </w:divBdr>
    </w:div>
    <w:div w:id="723797011">
      <w:bodyDiv w:val="1"/>
      <w:marLeft w:val="0"/>
      <w:marRight w:val="0"/>
      <w:marTop w:val="0"/>
      <w:marBottom w:val="0"/>
      <w:divBdr>
        <w:top w:val="none" w:sz="0" w:space="0" w:color="auto"/>
        <w:left w:val="none" w:sz="0" w:space="0" w:color="auto"/>
        <w:bottom w:val="none" w:sz="0" w:space="0" w:color="auto"/>
        <w:right w:val="none" w:sz="0" w:space="0" w:color="auto"/>
      </w:divBdr>
    </w:div>
    <w:div w:id="1176068786">
      <w:bodyDiv w:val="1"/>
      <w:marLeft w:val="0"/>
      <w:marRight w:val="0"/>
      <w:marTop w:val="0"/>
      <w:marBottom w:val="0"/>
      <w:divBdr>
        <w:top w:val="none" w:sz="0" w:space="0" w:color="auto"/>
        <w:left w:val="none" w:sz="0" w:space="0" w:color="auto"/>
        <w:bottom w:val="none" w:sz="0" w:space="0" w:color="auto"/>
        <w:right w:val="none" w:sz="0" w:space="0" w:color="auto"/>
      </w:divBdr>
    </w:div>
    <w:div w:id="1227491788">
      <w:bodyDiv w:val="1"/>
      <w:marLeft w:val="0"/>
      <w:marRight w:val="0"/>
      <w:marTop w:val="0"/>
      <w:marBottom w:val="0"/>
      <w:divBdr>
        <w:top w:val="none" w:sz="0" w:space="0" w:color="auto"/>
        <w:left w:val="none" w:sz="0" w:space="0" w:color="auto"/>
        <w:bottom w:val="none" w:sz="0" w:space="0" w:color="auto"/>
        <w:right w:val="none" w:sz="0" w:space="0" w:color="auto"/>
      </w:divBdr>
    </w:div>
    <w:div w:id="1743717155">
      <w:bodyDiv w:val="1"/>
      <w:marLeft w:val="0"/>
      <w:marRight w:val="0"/>
      <w:marTop w:val="0"/>
      <w:marBottom w:val="0"/>
      <w:divBdr>
        <w:top w:val="none" w:sz="0" w:space="0" w:color="auto"/>
        <w:left w:val="none" w:sz="0" w:space="0" w:color="auto"/>
        <w:bottom w:val="none" w:sz="0" w:space="0" w:color="auto"/>
        <w:right w:val="none" w:sz="0" w:space="0" w:color="auto"/>
      </w:divBdr>
    </w:div>
    <w:div w:id="2025865988">
      <w:bodyDiv w:val="1"/>
      <w:marLeft w:val="0"/>
      <w:marRight w:val="0"/>
      <w:marTop w:val="0"/>
      <w:marBottom w:val="0"/>
      <w:divBdr>
        <w:top w:val="none" w:sz="0" w:space="0" w:color="auto"/>
        <w:left w:val="none" w:sz="0" w:space="0" w:color="auto"/>
        <w:bottom w:val="none" w:sz="0" w:space="0" w:color="auto"/>
        <w:right w:val="none" w:sz="0" w:space="0" w:color="auto"/>
      </w:divBdr>
    </w:div>
    <w:div w:id="20427057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eloro.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92</TotalTime>
  <Pages>8</Pages>
  <Words>3526</Words>
  <Characters>18779</Characters>
  <Application>Microsoft Office Word</Application>
  <DocSecurity>0</DocSecurity>
  <Lines>156</Lines>
  <Paragraphs>44</Paragraphs>
  <ScaleCrop>false</ScaleCrop>
  <HeadingPairs>
    <vt:vector size="2" baseType="variant">
      <vt:variant>
        <vt:lpstr>Title</vt:lpstr>
      </vt:variant>
      <vt:variant>
        <vt:i4>1</vt:i4>
      </vt:variant>
    </vt:vector>
  </HeadingPairs>
  <TitlesOfParts>
    <vt:vector size="1" baseType="lpstr">
      <vt:lpstr>EL ORO AND EXPLORATION COMPANY plc</vt:lpstr>
    </vt:vector>
  </TitlesOfParts>
  <Company>El Oro &amp; Exploration Plc</Company>
  <LinksUpToDate>false</LinksUpToDate>
  <CharactersWithSpaces>22261</CharactersWithSpaces>
  <SharedDoc>false</SharedDoc>
  <HLinks>
    <vt:vector size="6" baseType="variant">
      <vt:variant>
        <vt:i4>6815866</vt:i4>
      </vt:variant>
      <vt:variant>
        <vt:i4>0</vt:i4>
      </vt:variant>
      <vt:variant>
        <vt:i4>0</vt:i4>
      </vt:variant>
      <vt:variant>
        <vt:i4>5</vt:i4>
      </vt:variant>
      <vt:variant>
        <vt:lpwstr>http://www.eloro.co.uk/</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 ORO AND EXPLORATION COMPANY plc</dc:title>
  <dc:creator>steven.mckeane</dc:creator>
  <cp:lastModifiedBy>gilliannewton</cp:lastModifiedBy>
  <cp:revision>15</cp:revision>
  <cp:lastPrinted>2013-04-11T11:50:00Z</cp:lastPrinted>
  <dcterms:created xsi:type="dcterms:W3CDTF">2013-04-11T03:34:00Z</dcterms:created>
  <dcterms:modified xsi:type="dcterms:W3CDTF">2013-04-11T15:06:00Z</dcterms:modified>
</cp:coreProperties>
</file>