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B45" w:rsidRPr="0056180C" w:rsidRDefault="00603B45" w:rsidP="00603B45">
      <w:pPr>
        <w:spacing w:before="36" w:line="264" w:lineRule="auto"/>
        <w:ind w:right="1826"/>
        <w:rPr>
          <w:rFonts w:ascii="Times New Roman" w:hAnsi="Times New Roman" w:cs="Times New Roman"/>
          <w:spacing w:val="12"/>
          <w:sz w:val="32"/>
          <w:szCs w:val="32"/>
        </w:rPr>
      </w:pPr>
      <w:r w:rsidRPr="0056180C">
        <w:rPr>
          <w:rFonts w:ascii="Times New Roman" w:hAnsi="Times New Roman" w:cs="Times New Roman"/>
          <w:spacing w:val="12"/>
          <w:sz w:val="32"/>
          <w:szCs w:val="32"/>
        </w:rPr>
        <w:t>El Oro Ltd</w:t>
      </w:r>
    </w:p>
    <w:p w:rsidR="00603B45" w:rsidRPr="0056180C" w:rsidRDefault="00603B45" w:rsidP="00603B45">
      <w:pPr>
        <w:spacing w:before="36" w:line="264" w:lineRule="auto"/>
        <w:ind w:right="1826"/>
        <w:rPr>
          <w:rFonts w:ascii="Times New Roman" w:hAnsi="Times New Roman" w:cs="Times New Roman"/>
          <w:spacing w:val="12"/>
          <w:sz w:val="32"/>
          <w:szCs w:val="32"/>
        </w:rPr>
      </w:pPr>
      <w:r w:rsidRPr="0056180C">
        <w:rPr>
          <w:rFonts w:ascii="Times New Roman" w:hAnsi="Times New Roman" w:cs="Times New Roman"/>
          <w:spacing w:val="12"/>
          <w:sz w:val="32"/>
          <w:szCs w:val="32"/>
        </w:rPr>
        <w:t>Preliminary Announcement</w:t>
      </w:r>
    </w:p>
    <w:p w:rsidR="00603B45" w:rsidRDefault="00603B45" w:rsidP="00607022">
      <w:pPr>
        <w:autoSpaceDE w:val="0"/>
        <w:autoSpaceDN w:val="0"/>
        <w:adjustRightInd w:val="0"/>
        <w:spacing w:after="0" w:line="240" w:lineRule="auto"/>
        <w:rPr>
          <w:rFonts w:ascii="Times New Roman" w:hAnsi="Times New Roman" w:cs="Times New Roman"/>
          <w:b/>
          <w:bCs/>
          <w:sz w:val="20"/>
          <w:szCs w:val="20"/>
        </w:rPr>
      </w:pPr>
    </w:p>
    <w:p w:rsidR="00603B45" w:rsidRDefault="00603B45" w:rsidP="00607022">
      <w:pPr>
        <w:autoSpaceDE w:val="0"/>
        <w:autoSpaceDN w:val="0"/>
        <w:adjustRightInd w:val="0"/>
        <w:spacing w:after="0" w:line="240" w:lineRule="auto"/>
        <w:rPr>
          <w:rFonts w:ascii="Times New Roman" w:hAnsi="Times New Roman" w:cs="Times New Roman"/>
          <w:b/>
          <w:bCs/>
          <w:sz w:val="20"/>
          <w:szCs w:val="20"/>
        </w:rPr>
      </w:pPr>
    </w:p>
    <w:p w:rsidR="00607022" w:rsidRPr="00607022" w:rsidRDefault="00607022" w:rsidP="00607022">
      <w:pPr>
        <w:autoSpaceDE w:val="0"/>
        <w:autoSpaceDN w:val="0"/>
        <w:adjustRightInd w:val="0"/>
        <w:spacing w:after="0" w:line="240" w:lineRule="auto"/>
        <w:rPr>
          <w:rFonts w:ascii="Times New Roman" w:hAnsi="Times New Roman" w:cs="Times New Roman"/>
          <w:sz w:val="20"/>
          <w:szCs w:val="20"/>
        </w:rPr>
      </w:pPr>
      <w:r w:rsidRPr="00607022">
        <w:rPr>
          <w:rFonts w:ascii="Times New Roman" w:hAnsi="Times New Roman" w:cs="Times New Roman"/>
          <w:b/>
          <w:bCs/>
          <w:sz w:val="20"/>
          <w:szCs w:val="20"/>
        </w:rPr>
        <w:t>Chairman’s statement</w:t>
      </w:r>
    </w:p>
    <w:p w:rsidR="00607022" w:rsidRPr="00607022" w:rsidRDefault="00607022" w:rsidP="00607022">
      <w:pPr>
        <w:autoSpaceDE w:val="0"/>
        <w:autoSpaceDN w:val="0"/>
        <w:adjustRightInd w:val="0"/>
        <w:spacing w:after="0" w:line="240" w:lineRule="auto"/>
        <w:rPr>
          <w:rFonts w:ascii="Times New Roman" w:hAnsi="Times New Roman" w:cs="Times New Roman"/>
          <w:sz w:val="20"/>
          <w:szCs w:val="20"/>
        </w:rPr>
      </w:pP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r w:rsidRPr="00607022">
        <w:rPr>
          <w:rFonts w:ascii="Times New Roman" w:hAnsi="Times New Roman" w:cs="Times New Roman"/>
          <w:color w:val="000000"/>
          <w:w w:val="99"/>
          <w:sz w:val="20"/>
          <w:szCs w:val="20"/>
        </w:rPr>
        <w:t>The El Oro Group’s loss before tax for the year-ended 30 June 2016 was £615,636 (loss before tax for the year-ended 30 June 2015 was £11,338,951). The Group’s net assets at 30 June 2016 were £50,598,883 or 79.7 pence per share (30 June 2015: £51,827,562 or 80.5 pence per share).</w:t>
      </w: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r w:rsidRPr="00607022">
        <w:rPr>
          <w:rFonts w:ascii="Times New Roman" w:hAnsi="Times New Roman" w:cs="Times New Roman"/>
          <w:color w:val="000000"/>
          <w:w w:val="99"/>
          <w:sz w:val="20"/>
          <w:szCs w:val="20"/>
        </w:rPr>
        <w:t xml:space="preserve">The Board has resolved to propose a final dividend of 2.405 pence per share for the year-ended </w:t>
      </w:r>
      <w:r w:rsidRPr="00607022">
        <w:rPr>
          <w:rFonts w:ascii="Times New Roman" w:hAnsi="Times New Roman" w:cs="Times New Roman"/>
          <w:color w:val="000000"/>
          <w:w w:val="99"/>
          <w:sz w:val="20"/>
          <w:szCs w:val="20"/>
        </w:rPr>
        <w:br/>
        <w:t xml:space="preserve">30 June 2016 (year ended 30 June 2015: 2.405 pence per share) on 28 November 2016 to Members registered on the books of the Company at the close of business on 28 October 2016. </w:t>
      </w: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r w:rsidRPr="00607022">
        <w:rPr>
          <w:rFonts w:ascii="Times New Roman" w:hAnsi="Times New Roman" w:cs="Times New Roman"/>
          <w:color w:val="000000"/>
          <w:w w:val="99"/>
          <w:sz w:val="20"/>
          <w:szCs w:val="20"/>
        </w:rPr>
        <w:t xml:space="preserve"> </w:t>
      </w: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r w:rsidRPr="00607022">
        <w:rPr>
          <w:rFonts w:ascii="Times New Roman" w:hAnsi="Times New Roman" w:cs="Times New Roman"/>
          <w:color w:val="000000"/>
          <w:w w:val="99"/>
          <w:sz w:val="20"/>
          <w:szCs w:val="20"/>
        </w:rPr>
        <w:t>The ascent from the slough of despond seen around the start of 2016 has been especially dramatic in the mining sector, with the FTSE 350 Mining Index appreciating 52% since 1 January and the AIM Basic Resources Index up 48% since the January lows. Although this puts us back more or less where we started in June 2015, the expectation that the mining market, and gold, were yesterday’s ideas has been rebuffed, even if temporarily.</w:t>
      </w: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r w:rsidRPr="00607022">
        <w:rPr>
          <w:rFonts w:ascii="Times New Roman" w:hAnsi="Times New Roman" w:cs="Times New Roman"/>
          <w:color w:val="000000"/>
          <w:w w:val="99"/>
          <w:sz w:val="20"/>
          <w:szCs w:val="20"/>
        </w:rPr>
        <w:t xml:space="preserve">It is heartening to hear in recent weeks some of the sagest investment minds saying that we are moving into uncharted waters, and therefore increasing their exposure to gold. Whilst marking time is not a seductive investment philosophy, we do believe that the reduction in debt achieved over the last year, and a fall in our exposure to Swaps, whilst increasing our exposure to larger-capitalisation stocks, has provided a much more secure base from which to approach the challenges ahead. </w:t>
      </w: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r w:rsidRPr="00607022">
        <w:rPr>
          <w:rFonts w:ascii="Times New Roman" w:hAnsi="Times New Roman" w:cs="Times New Roman"/>
          <w:color w:val="000000"/>
          <w:w w:val="99"/>
          <w:sz w:val="20"/>
          <w:szCs w:val="20"/>
        </w:rPr>
        <w:t>The fact that the entire political landscape has altered so dramatically over the past few months emphasizes yet again that assets providing security in a challenging and ‘disruptive’ world are essential for a secure portfolio: we believe the mix of old-economy stocks, in continuing demand, such as Young’s and Halstead, backed up by the gold exposure from our miners, does answer some of those challenges, despite the shortcomings of the metals during the mining-slump of the past few years.</w:t>
      </w: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r w:rsidRPr="00607022">
        <w:rPr>
          <w:rFonts w:ascii="Times New Roman" w:hAnsi="Times New Roman" w:cs="Times New Roman"/>
          <w:color w:val="000000"/>
          <w:w w:val="99"/>
          <w:sz w:val="20"/>
          <w:szCs w:val="20"/>
        </w:rPr>
        <w:t xml:space="preserve">Looking at a few of our individual stocks, Hurricane hit a low around the 9p level in the spring, but has since bounced above the 30p mark, as two funds took advantage of its depressed level, sensing the opportunity in its stranded oil West Shetlands deposit. Its drilling result announced on the 9 September has validated the optimism of its chief Geologist and seen a huge rise in its share </w:t>
      </w:r>
      <w:proofErr w:type="gramStart"/>
      <w:r w:rsidRPr="00607022">
        <w:rPr>
          <w:rFonts w:ascii="Times New Roman" w:hAnsi="Times New Roman" w:cs="Times New Roman"/>
          <w:color w:val="000000"/>
          <w:w w:val="99"/>
          <w:sz w:val="20"/>
          <w:szCs w:val="20"/>
        </w:rPr>
        <w:t>price,</w:t>
      </w:r>
      <w:proofErr w:type="gramEnd"/>
      <w:r w:rsidRPr="00607022">
        <w:rPr>
          <w:rFonts w:ascii="Times New Roman" w:hAnsi="Times New Roman" w:cs="Times New Roman"/>
          <w:color w:val="000000"/>
          <w:w w:val="99"/>
          <w:sz w:val="20"/>
          <w:szCs w:val="20"/>
        </w:rPr>
        <w:t xml:space="preserve"> as good as the Pantheon Resources results were disappointing. As always, fortune favours the brave, and we would expect the oil reserve to grow in size in the months to come.</w:t>
      </w: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r w:rsidRPr="00607022">
        <w:rPr>
          <w:rFonts w:ascii="Times New Roman" w:hAnsi="Times New Roman" w:cs="Times New Roman"/>
          <w:color w:val="000000"/>
          <w:w w:val="99"/>
          <w:sz w:val="20"/>
          <w:szCs w:val="20"/>
        </w:rPr>
        <w:t xml:space="preserve">We were pleased to welcome Dominic </w:t>
      </w:r>
      <w:proofErr w:type="spellStart"/>
      <w:r w:rsidRPr="00607022">
        <w:rPr>
          <w:rFonts w:ascii="Times New Roman" w:hAnsi="Times New Roman" w:cs="Times New Roman"/>
          <w:color w:val="000000"/>
          <w:w w:val="99"/>
          <w:sz w:val="20"/>
          <w:szCs w:val="20"/>
        </w:rPr>
        <w:t>Scriven</w:t>
      </w:r>
      <w:proofErr w:type="spellEnd"/>
      <w:r w:rsidRPr="00607022">
        <w:rPr>
          <w:rFonts w:ascii="Times New Roman" w:hAnsi="Times New Roman" w:cs="Times New Roman"/>
          <w:color w:val="000000"/>
          <w:w w:val="99"/>
          <w:sz w:val="20"/>
          <w:szCs w:val="20"/>
        </w:rPr>
        <w:t xml:space="preserve"> OBE and his team’s Vietnam Enterprise Investment Fund to a London listing in early July, and are grateful for his dedicated stewardship of a significant holding for us, opening doors successfully to one of the more populous and promising Asian markets.</w:t>
      </w: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r w:rsidRPr="00607022">
        <w:rPr>
          <w:rFonts w:ascii="Times New Roman" w:hAnsi="Times New Roman" w:cs="Times New Roman"/>
          <w:color w:val="000000"/>
          <w:w w:val="99"/>
          <w:sz w:val="20"/>
          <w:szCs w:val="20"/>
        </w:rPr>
        <w:t xml:space="preserve">Shanta Gold has also recently revealed greater reserves than previously assessed, and continues its recovery, at its various projects in Tanzania. Troy has recovered from its mid-winter lows, but the volume of rain in Guyana has restricted its ability to meet its production targets, and it has once again made recourse to capital </w:t>
      </w:r>
      <w:proofErr w:type="gramStart"/>
      <w:r w:rsidRPr="00607022">
        <w:rPr>
          <w:rFonts w:ascii="Times New Roman" w:hAnsi="Times New Roman" w:cs="Times New Roman"/>
          <w:color w:val="000000"/>
          <w:w w:val="99"/>
          <w:sz w:val="20"/>
          <w:szCs w:val="20"/>
        </w:rPr>
        <w:t>raising</w:t>
      </w:r>
      <w:proofErr w:type="gramEnd"/>
      <w:r w:rsidRPr="00607022">
        <w:rPr>
          <w:rFonts w:ascii="Times New Roman" w:hAnsi="Times New Roman" w:cs="Times New Roman"/>
          <w:color w:val="000000"/>
          <w:w w:val="99"/>
          <w:sz w:val="20"/>
          <w:szCs w:val="20"/>
        </w:rPr>
        <w:t xml:space="preserve"> in recent weeks. Whilst the prospect of losing the services of the ever-green Ken Nilsson, well into his seventh decade, does not fill us with delight, we acknowledge his seminal contribution to Troy’s prosperity over the past 20 years and are convinced that his legacy at </w:t>
      </w:r>
      <w:proofErr w:type="spellStart"/>
      <w:r w:rsidRPr="00607022">
        <w:rPr>
          <w:rFonts w:ascii="Times New Roman" w:hAnsi="Times New Roman" w:cs="Times New Roman"/>
          <w:color w:val="000000"/>
          <w:w w:val="99"/>
          <w:sz w:val="20"/>
          <w:szCs w:val="20"/>
        </w:rPr>
        <w:t>Karouni</w:t>
      </w:r>
      <w:proofErr w:type="spellEnd"/>
      <w:r w:rsidRPr="00607022">
        <w:rPr>
          <w:rFonts w:ascii="Times New Roman" w:hAnsi="Times New Roman" w:cs="Times New Roman"/>
          <w:color w:val="000000"/>
          <w:w w:val="99"/>
          <w:sz w:val="20"/>
          <w:szCs w:val="20"/>
        </w:rPr>
        <w:t xml:space="preserve">, given a favourable gold price, will eventually reward patient </w:t>
      </w:r>
      <w:r w:rsidRPr="00607022">
        <w:rPr>
          <w:rFonts w:ascii="Times New Roman" w:hAnsi="Times New Roman" w:cs="Times New Roman"/>
          <w:color w:val="000000"/>
          <w:w w:val="99"/>
          <w:sz w:val="20"/>
          <w:szCs w:val="20"/>
        </w:rPr>
        <w:lastRenderedPageBreak/>
        <w:t>shareholders, despite further fund raising.</w:t>
      </w: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r w:rsidRPr="00607022">
        <w:rPr>
          <w:rFonts w:ascii="Times New Roman" w:hAnsi="Times New Roman" w:cs="Times New Roman"/>
          <w:color w:val="000000"/>
          <w:w w:val="99"/>
          <w:sz w:val="20"/>
          <w:szCs w:val="20"/>
        </w:rPr>
        <w:t xml:space="preserve">The ride at Pantheon Resources has certainly been anything but dull in recent months even if hopes for a further extension to its Texan oil deposits were recently dashed, along with the share price, by drilling complications. Whilst the shorts might have the upper hand for now, we will wait for a recovery to emerge. That has thus far been the case at Cadiz, the water project in the Mojave Desert in California that has been the subject of a sustained shorting attack. It now appears to have been exacerbated by collusion with Government authorities, and the project, able to bring water to upwards of 100,000 people in Southern California, might at last see the light of day and save water that is at present evaporating into the desert. </w:t>
      </w: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r w:rsidRPr="00607022">
        <w:rPr>
          <w:rFonts w:ascii="Times New Roman" w:hAnsi="Times New Roman" w:cs="Times New Roman"/>
          <w:color w:val="000000"/>
          <w:w w:val="99"/>
          <w:sz w:val="20"/>
          <w:szCs w:val="20"/>
        </w:rPr>
        <w:t xml:space="preserve">Whilst such projects, if finally greeted by fortune’s smile, may well enrich shareholders, we are mindful of the request by some shareholders for larger cap stocks: we have been rewarded in this respect by our investment in Newmont Mining one of the world’s major gold mining companies, and also Freeport </w:t>
      </w:r>
      <w:proofErr w:type="spellStart"/>
      <w:r w:rsidRPr="00607022">
        <w:rPr>
          <w:rFonts w:ascii="Times New Roman" w:hAnsi="Times New Roman" w:cs="Times New Roman"/>
          <w:color w:val="000000"/>
          <w:w w:val="99"/>
          <w:sz w:val="20"/>
          <w:szCs w:val="20"/>
        </w:rPr>
        <w:t>McMoRan</w:t>
      </w:r>
      <w:proofErr w:type="spellEnd"/>
      <w:r w:rsidRPr="00607022">
        <w:rPr>
          <w:rFonts w:ascii="Times New Roman" w:hAnsi="Times New Roman" w:cs="Times New Roman"/>
          <w:color w:val="000000"/>
          <w:w w:val="99"/>
          <w:sz w:val="20"/>
          <w:szCs w:val="20"/>
        </w:rPr>
        <w:t>, one of the foremost copper Miners in the world, producing a considerable quantity of gold from its Grasberg concession in Indonesia, even if a question mark does hang over its ability to renew it. Barring another calamitous slump in the Chinese or American economy, the world demand for copper should enhance the share prices of such companies well beyond the low levels reached earlier in the year.</w:t>
      </w: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r w:rsidRPr="00607022">
        <w:rPr>
          <w:rFonts w:ascii="Times New Roman" w:hAnsi="Times New Roman" w:cs="Times New Roman"/>
          <w:color w:val="000000"/>
          <w:w w:val="99"/>
          <w:sz w:val="20"/>
          <w:szCs w:val="20"/>
        </w:rPr>
        <w:t>Along with Shell and British American Tobacco, there is considerable comfort to be had from bolstering the portfolio with these larger companies, even if growth will tend to come from the successful selection of smaller companies.</w:t>
      </w: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r w:rsidRPr="00607022">
        <w:rPr>
          <w:rFonts w:ascii="Times New Roman" w:hAnsi="Times New Roman" w:cs="Times New Roman"/>
          <w:color w:val="000000"/>
          <w:w w:val="99"/>
          <w:sz w:val="20"/>
          <w:szCs w:val="20"/>
        </w:rPr>
        <w:t xml:space="preserve">Investors are increasingly seeking higher-yielding stocks, often via the medium of ETFs and as a consequence their valuations are rising to perhaps unsustainable levels, whilst those beneath the radar of many brokers’ lists continue to present compelling value. Our positions in Young and Co and James Halstead, are examples of small companies grown large by astute management in a favourable area, and continue to impress with the consistency of their performances and growth in dividends, even as we now welcome Patrick </w:t>
      </w:r>
      <w:proofErr w:type="spellStart"/>
      <w:r w:rsidRPr="00607022">
        <w:rPr>
          <w:rFonts w:ascii="Times New Roman" w:hAnsi="Times New Roman" w:cs="Times New Roman"/>
          <w:color w:val="000000"/>
          <w:w w:val="99"/>
          <w:sz w:val="20"/>
          <w:szCs w:val="20"/>
        </w:rPr>
        <w:t>Dardis</w:t>
      </w:r>
      <w:proofErr w:type="spellEnd"/>
      <w:r w:rsidRPr="00607022">
        <w:rPr>
          <w:rFonts w:ascii="Times New Roman" w:hAnsi="Times New Roman" w:cs="Times New Roman"/>
          <w:color w:val="000000"/>
          <w:w w:val="99"/>
          <w:sz w:val="20"/>
          <w:szCs w:val="20"/>
        </w:rPr>
        <w:t xml:space="preserve"> at Young and Co., in succession to the admirable Steven Goodyear, and unflappable Peter Whitehead.</w:t>
      </w: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r w:rsidRPr="00607022">
        <w:rPr>
          <w:rFonts w:ascii="Times New Roman" w:hAnsi="Times New Roman" w:cs="Times New Roman"/>
          <w:color w:val="000000"/>
          <w:w w:val="99"/>
          <w:sz w:val="20"/>
          <w:szCs w:val="20"/>
        </w:rPr>
        <w:t>PZ Cussons continues its recovery from what was deemed the morass of Nigeria’s economic and political woes, abetted by its dominant position in distribution in that extensive market; Ocean Wilsons is also thriving despite the vagaries of the Brazilian economy.</w:t>
      </w: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r w:rsidRPr="00607022">
        <w:rPr>
          <w:rFonts w:ascii="Times New Roman" w:hAnsi="Times New Roman" w:cs="Times New Roman"/>
          <w:color w:val="000000"/>
          <w:w w:val="99"/>
          <w:sz w:val="20"/>
          <w:szCs w:val="20"/>
        </w:rPr>
        <w:t>MP Evans, having paid a special dividend with the proceeds of the sale of its Australian cattle station, stands to benefit from an increase in the palm oil price, as does REA, after enduring a period of impairment from low yields and low prices. Select Harvests is also beginning to see a recovery in the almond price, and tiny Fulcrum, providing electricity services to several major entities, has risen dramatically in the past year.</w:t>
      </w: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r w:rsidRPr="00607022">
        <w:rPr>
          <w:rFonts w:ascii="Times New Roman" w:hAnsi="Times New Roman" w:cs="Times New Roman"/>
          <w:color w:val="000000"/>
          <w:w w:val="99"/>
          <w:sz w:val="20"/>
          <w:szCs w:val="20"/>
        </w:rPr>
        <w:t xml:space="preserve">As some shareholders had expressed concern at the investment performance of the Company, the widening discount to net asset value and the lack of liquidity in the shares, the Board consulted with some of the larger shareholders who reemphasised these concerns. In the light of this the Board is proposing and will support a special resolution at the forthcoming AGM to alter the Articles of </w:t>
      </w:r>
      <w:r w:rsidR="002654DD">
        <w:rPr>
          <w:rFonts w:ascii="Times New Roman" w:hAnsi="Times New Roman" w:cs="Times New Roman"/>
          <w:color w:val="000000"/>
          <w:w w:val="99"/>
          <w:sz w:val="20"/>
          <w:szCs w:val="20"/>
        </w:rPr>
        <w:t>Incorporation</w:t>
      </w:r>
      <w:r w:rsidRPr="00607022">
        <w:rPr>
          <w:rFonts w:ascii="Times New Roman" w:hAnsi="Times New Roman" w:cs="Times New Roman"/>
          <w:color w:val="000000"/>
          <w:w w:val="99"/>
          <w:sz w:val="20"/>
          <w:szCs w:val="20"/>
        </w:rPr>
        <w:t xml:space="preserve"> to provide that the Company will be put into voluntary liquidation at the AGM in November 2018 unless a Special Resolution is passed to prevent such liquidation. The Board considers that this action would give shareholders who wish to exit the Company at closer to the net asset value the opportunity to do so and will enable the Company to further reduce or eliminate </w:t>
      </w:r>
      <w:proofErr w:type="gramStart"/>
      <w:r w:rsidRPr="00607022">
        <w:rPr>
          <w:rFonts w:ascii="Times New Roman" w:hAnsi="Times New Roman" w:cs="Times New Roman"/>
          <w:color w:val="000000"/>
          <w:w w:val="99"/>
          <w:sz w:val="20"/>
          <w:szCs w:val="20"/>
        </w:rPr>
        <w:t>its</w:t>
      </w:r>
      <w:proofErr w:type="gramEnd"/>
      <w:r w:rsidRPr="00607022">
        <w:rPr>
          <w:rFonts w:ascii="Times New Roman" w:hAnsi="Times New Roman" w:cs="Times New Roman"/>
          <w:color w:val="000000"/>
          <w:w w:val="99"/>
          <w:sz w:val="20"/>
          <w:szCs w:val="20"/>
        </w:rPr>
        <w:t xml:space="preserve"> debt and improve its investment performance in the intervening period. Further details are given in the circular accompanying the notice for the AGM. </w:t>
      </w: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r w:rsidRPr="00607022">
        <w:rPr>
          <w:rFonts w:ascii="Times New Roman" w:hAnsi="Times New Roman" w:cs="Times New Roman"/>
          <w:color w:val="000000"/>
          <w:w w:val="99"/>
          <w:sz w:val="20"/>
          <w:szCs w:val="20"/>
        </w:rPr>
        <w:t xml:space="preserve">Amidst tremendous global uncertainty, of the triumvirate that ran the Britain’s Economy, only one now survives, hopefully for not much longer; the former Chancellor’s predictions of penury bordered on the treasonable, not to </w:t>
      </w:r>
      <w:r w:rsidRPr="00607022">
        <w:rPr>
          <w:rFonts w:ascii="Times New Roman" w:hAnsi="Times New Roman" w:cs="Times New Roman"/>
          <w:color w:val="000000"/>
          <w:w w:val="99"/>
          <w:sz w:val="20"/>
          <w:szCs w:val="20"/>
        </w:rPr>
        <w:lastRenderedPageBreak/>
        <w:t xml:space="preserve">mention with hindsight, laughable. This must be added to his deplorable record in making the tax system fiendishly complex, primarily for political reasons, and putting paid to the London property market, Buy to let and imposing the egregious Living Wage. </w:t>
      </w: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r w:rsidRPr="00607022">
        <w:rPr>
          <w:rFonts w:ascii="Times New Roman" w:hAnsi="Times New Roman" w:cs="Times New Roman"/>
          <w:color w:val="000000"/>
          <w:w w:val="99"/>
          <w:sz w:val="20"/>
          <w:szCs w:val="20"/>
        </w:rPr>
        <w:t xml:space="preserve">His fellow conspirators included the execrable Geldof, pouring obscene scorn on Britain’s benighted fishermen, and joyless Juncker, along with the effortlessly disloyal Obama and highly questionable </w:t>
      </w:r>
      <w:proofErr w:type="spellStart"/>
      <w:r w:rsidRPr="00607022">
        <w:rPr>
          <w:rFonts w:ascii="Times New Roman" w:hAnsi="Times New Roman" w:cs="Times New Roman"/>
          <w:color w:val="000000"/>
          <w:w w:val="99"/>
          <w:sz w:val="20"/>
          <w:szCs w:val="20"/>
        </w:rPr>
        <w:t>Lagarde</w:t>
      </w:r>
      <w:proofErr w:type="spellEnd"/>
      <w:r w:rsidRPr="00607022">
        <w:rPr>
          <w:rFonts w:ascii="Times New Roman" w:hAnsi="Times New Roman" w:cs="Times New Roman"/>
          <w:color w:val="000000"/>
          <w:w w:val="99"/>
          <w:sz w:val="20"/>
          <w:szCs w:val="20"/>
        </w:rPr>
        <w:t>: All these luminaries replete with their diatribes of doom have been shown to be persistently and fundamentally wrong: There is simply no sound reason why Janet Yellen and the whole approach to quantitative easing, so unsuccessful in Japan and Europe, will have any lasting beneficial effect on any economy, other than the price of certain assets, and the job security of various bankers, if carried on to Eternity.</w:t>
      </w: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r w:rsidRPr="00607022">
        <w:rPr>
          <w:rFonts w:ascii="Times New Roman" w:hAnsi="Times New Roman" w:cs="Times New Roman"/>
          <w:color w:val="000000"/>
          <w:w w:val="99"/>
          <w:sz w:val="20"/>
          <w:szCs w:val="20"/>
        </w:rPr>
        <w:t xml:space="preserve">What we do know is that the pension and savings systems of most of the Western world have over the last 10 years been brought to the borders of insolvency by the imposition of microscopic rates of return. More of the same seems currently the only solution on offer. </w:t>
      </w: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r w:rsidRPr="00607022">
        <w:rPr>
          <w:rFonts w:ascii="Times New Roman" w:hAnsi="Times New Roman" w:cs="Times New Roman"/>
          <w:color w:val="000000"/>
          <w:w w:val="99"/>
          <w:sz w:val="20"/>
          <w:szCs w:val="20"/>
        </w:rPr>
        <w:t xml:space="preserve">The recent collapse of the </w:t>
      </w:r>
      <w:proofErr w:type="spellStart"/>
      <w:r w:rsidRPr="00607022">
        <w:rPr>
          <w:rFonts w:ascii="Times New Roman" w:hAnsi="Times New Roman" w:cs="Times New Roman"/>
          <w:color w:val="000000"/>
          <w:w w:val="99"/>
          <w:sz w:val="20"/>
          <w:szCs w:val="20"/>
        </w:rPr>
        <w:t>Hanjin</w:t>
      </w:r>
      <w:proofErr w:type="spellEnd"/>
      <w:r w:rsidRPr="00607022">
        <w:rPr>
          <w:rFonts w:ascii="Times New Roman" w:hAnsi="Times New Roman" w:cs="Times New Roman"/>
          <w:color w:val="000000"/>
          <w:w w:val="99"/>
          <w:sz w:val="20"/>
          <w:szCs w:val="20"/>
        </w:rPr>
        <w:t xml:space="preserve"> Shipping Line, whilst presaging a rise in freight rates, has highlighted the grotesque overcapacity in the container market, and also that of port capacity. The precipitous fall in the share price of Deutsche Bank, once perceived as the giant of the German banking fraternity, can but send a shiver down the spine of anyone insouciant enough to believe in the supremacy of the German banking system: so soon after imposing impossibly onerous terms on that of Greece. It is ironic to see the magnanimous American regulators imposing a $14bn fine on Deutsche Bank for infractions in the sale of mortgage securities, a genre almost entirely the creation of the US investment banks. These are not encouraging portents for world trade, especially given a harsher political climate towards treaties that seem to favour a tiny section of the electorate.</w:t>
      </w: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r w:rsidRPr="00607022">
        <w:rPr>
          <w:rFonts w:ascii="Times New Roman" w:hAnsi="Times New Roman" w:cs="Times New Roman"/>
          <w:color w:val="000000"/>
          <w:w w:val="99"/>
          <w:sz w:val="20"/>
          <w:szCs w:val="20"/>
        </w:rPr>
        <w:t xml:space="preserve">What a </w:t>
      </w:r>
      <w:proofErr w:type="spellStart"/>
      <w:r w:rsidRPr="00607022">
        <w:rPr>
          <w:rFonts w:ascii="Times New Roman" w:hAnsi="Times New Roman" w:cs="Times New Roman"/>
          <w:color w:val="000000"/>
          <w:w w:val="99"/>
          <w:sz w:val="20"/>
          <w:szCs w:val="20"/>
        </w:rPr>
        <w:t>marvelous</w:t>
      </w:r>
      <w:proofErr w:type="spellEnd"/>
      <w:r w:rsidRPr="00607022">
        <w:rPr>
          <w:rFonts w:ascii="Times New Roman" w:hAnsi="Times New Roman" w:cs="Times New Roman"/>
          <w:color w:val="000000"/>
          <w:w w:val="99"/>
          <w:sz w:val="20"/>
          <w:szCs w:val="20"/>
        </w:rPr>
        <w:t xml:space="preserve"> change to see Mrs. May confounding the perceived wisdom of 50 years by allowing the creation of new Grammar Schools. Sadly she has not scrapped the deeply dubious </w:t>
      </w:r>
      <w:proofErr w:type="spellStart"/>
      <w:r w:rsidRPr="00607022">
        <w:rPr>
          <w:rFonts w:ascii="Times New Roman" w:hAnsi="Times New Roman" w:cs="Times New Roman"/>
          <w:color w:val="000000"/>
          <w:w w:val="99"/>
          <w:sz w:val="20"/>
          <w:szCs w:val="20"/>
        </w:rPr>
        <w:t>Hinkley</w:t>
      </w:r>
      <w:proofErr w:type="spellEnd"/>
      <w:r w:rsidRPr="00607022">
        <w:rPr>
          <w:rFonts w:ascii="Times New Roman" w:hAnsi="Times New Roman" w:cs="Times New Roman"/>
          <w:color w:val="000000"/>
          <w:w w:val="99"/>
          <w:sz w:val="20"/>
          <w:szCs w:val="20"/>
        </w:rPr>
        <w:t xml:space="preserve"> Point but perhaps may bite the bullet and dispose of HS2 and reverse the closure of our remaining Coal-fired Power stations whilst accelerating the building of several more runways. Boris’s Cycle routes within London will remain an obstruction to the free flow of traffic, and hardly enhances the well- being of the cyclist. The apparent abandonment of their Vocational calling amongst some junior doctors poses an existential threat to health care and the NHS.</w:t>
      </w: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r w:rsidRPr="00607022">
        <w:rPr>
          <w:rFonts w:ascii="Times New Roman" w:hAnsi="Times New Roman" w:cs="Times New Roman"/>
          <w:color w:val="000000"/>
          <w:w w:val="99"/>
          <w:sz w:val="20"/>
          <w:szCs w:val="20"/>
        </w:rPr>
        <w:t xml:space="preserve"> </w:t>
      </w: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proofErr w:type="gramStart"/>
      <w:r w:rsidRPr="00607022">
        <w:rPr>
          <w:rFonts w:ascii="Times New Roman" w:hAnsi="Times New Roman" w:cs="Times New Roman"/>
          <w:color w:val="000000"/>
          <w:w w:val="99"/>
          <w:sz w:val="20"/>
          <w:szCs w:val="20"/>
        </w:rPr>
        <w:t>Faced with the prospect of a Fool or a Knave, as some have described the choice facing the United States electorate, having some protection against possible rises in interest rates, along with gold, does seem to make a degree of sense.</w:t>
      </w:r>
      <w:proofErr w:type="gramEnd"/>
      <w:r w:rsidRPr="00607022">
        <w:rPr>
          <w:rFonts w:ascii="Times New Roman" w:hAnsi="Times New Roman" w:cs="Times New Roman"/>
          <w:color w:val="000000"/>
          <w:w w:val="99"/>
          <w:sz w:val="20"/>
          <w:szCs w:val="20"/>
        </w:rPr>
        <w:t xml:space="preserve"> We could well be entering another era of favourable prices for Precious metals, where even the despised Platinum shares are making a comeback.</w:t>
      </w: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r w:rsidRPr="00607022">
        <w:rPr>
          <w:rFonts w:ascii="Times New Roman" w:hAnsi="Times New Roman" w:cs="Times New Roman"/>
          <w:color w:val="000000"/>
          <w:w w:val="99"/>
          <w:sz w:val="20"/>
          <w:szCs w:val="20"/>
        </w:rPr>
        <w:t xml:space="preserve">We are therefore continuing our search for well-financed projects with substantial gold reserves, along with other metals such as lithium as we move further into the era of electric vehicles and the storage of electricity. We will back these up with value positions where there is a significant discount to assets, along with companies possessing an especial edge in technology or licences, such as Renishaw. We have achieved a significant reduction in debt since last November, even if with hindsight more might have been made of the compelling prices on offer early in January and again immediately after the 23 June - Independence Day. We have also reduced management costs, albeit partly with the departure to the Antipodes of Steven </w:t>
      </w:r>
      <w:proofErr w:type="spellStart"/>
      <w:r w:rsidRPr="00607022">
        <w:rPr>
          <w:rFonts w:ascii="Times New Roman" w:hAnsi="Times New Roman" w:cs="Times New Roman"/>
          <w:color w:val="000000"/>
          <w:w w:val="99"/>
          <w:sz w:val="20"/>
          <w:szCs w:val="20"/>
        </w:rPr>
        <w:t>McKeane</w:t>
      </w:r>
      <w:proofErr w:type="spellEnd"/>
      <w:r w:rsidRPr="00607022">
        <w:rPr>
          <w:rFonts w:ascii="Times New Roman" w:hAnsi="Times New Roman" w:cs="Times New Roman"/>
          <w:color w:val="000000"/>
          <w:w w:val="99"/>
          <w:sz w:val="20"/>
          <w:szCs w:val="20"/>
        </w:rPr>
        <w:t>, doyen of Finance chiefs, and a huge asset to the Company and support to myself for the previous 9 years. He has left an impressive legacy for Una Ni Dhonaill to follow, and we wish her well in that challenge. Irrepressible Abbie celebrated her half-Century in style and remains the beating heart of El Oro, along with recently arrived Nancy and Nick continuing his scrutiny of the settlements. Chris Copperwaite, unflustered by several changes of nomenclature, controls the Guernsey side with huge competence and good grace.</w:t>
      </w: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r w:rsidRPr="00607022">
        <w:rPr>
          <w:rFonts w:ascii="Times New Roman" w:hAnsi="Times New Roman" w:cs="Times New Roman"/>
          <w:color w:val="000000"/>
          <w:w w:val="99"/>
          <w:sz w:val="20"/>
          <w:szCs w:val="20"/>
        </w:rPr>
        <w:t xml:space="preserve">The celebrations of Her Majesty’s 90th Birthday, followed by the warm glow of Rio, and the dominance of the </w:t>
      </w:r>
      <w:r w:rsidRPr="00607022">
        <w:rPr>
          <w:rFonts w:ascii="Times New Roman" w:hAnsi="Times New Roman" w:cs="Times New Roman"/>
          <w:color w:val="000000"/>
          <w:w w:val="99"/>
          <w:sz w:val="20"/>
          <w:szCs w:val="20"/>
        </w:rPr>
        <w:lastRenderedPageBreak/>
        <w:t xml:space="preserve">British Eights, Four and Women’s Pair will take time to fade. Along with so many </w:t>
      </w:r>
      <w:proofErr w:type="gramStart"/>
      <w:r w:rsidRPr="00607022">
        <w:rPr>
          <w:rFonts w:ascii="Times New Roman" w:hAnsi="Times New Roman" w:cs="Times New Roman"/>
          <w:color w:val="000000"/>
          <w:w w:val="99"/>
          <w:sz w:val="20"/>
          <w:szCs w:val="20"/>
        </w:rPr>
        <w:t>other</w:t>
      </w:r>
      <w:proofErr w:type="gramEnd"/>
      <w:r w:rsidRPr="00607022">
        <w:rPr>
          <w:rFonts w:ascii="Times New Roman" w:hAnsi="Times New Roman" w:cs="Times New Roman"/>
          <w:color w:val="000000"/>
          <w:w w:val="99"/>
          <w:sz w:val="20"/>
          <w:szCs w:val="20"/>
        </w:rPr>
        <w:t xml:space="preserve"> sporting successes this summer they are tributes to outstanding individuals and dedicated and hugely competent management and coaching teams. We are enormously reassured to see Britain achieve such success, and believe that given goodwill and equivalent perseverance, the new leadership of Britain under Mrs. May can accomplish something similar. We are reminded of one recent gold </w:t>
      </w:r>
      <w:proofErr w:type="spellStart"/>
      <w:r w:rsidRPr="00607022">
        <w:rPr>
          <w:rFonts w:ascii="Times New Roman" w:hAnsi="Times New Roman" w:cs="Times New Roman"/>
          <w:color w:val="000000"/>
          <w:w w:val="99"/>
          <w:sz w:val="20"/>
          <w:szCs w:val="20"/>
        </w:rPr>
        <w:t>Medalist</w:t>
      </w:r>
      <w:proofErr w:type="spellEnd"/>
      <w:r w:rsidRPr="00607022">
        <w:rPr>
          <w:rFonts w:ascii="Times New Roman" w:hAnsi="Times New Roman" w:cs="Times New Roman"/>
          <w:color w:val="000000"/>
          <w:w w:val="99"/>
          <w:sz w:val="20"/>
          <w:szCs w:val="20"/>
        </w:rPr>
        <w:t xml:space="preserve"> who after a previously undefeated career only won bronze in London, yet overturned that a month ago in Rio.</w:t>
      </w: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r w:rsidRPr="00607022">
        <w:rPr>
          <w:rFonts w:ascii="Times New Roman" w:hAnsi="Times New Roman" w:cs="Times New Roman"/>
          <w:color w:val="000000"/>
          <w:w w:val="99"/>
          <w:sz w:val="20"/>
          <w:szCs w:val="20"/>
        </w:rPr>
        <w:t xml:space="preserve">We believe that despite the initial antagonism of many of the young and bright of today, Britain’s future as an independent Nation, free of the shackles of a Socialist, dictatorial and undemocratic union will be bright. </w:t>
      </w: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r w:rsidRPr="00607022">
        <w:rPr>
          <w:rFonts w:ascii="Times New Roman" w:hAnsi="Times New Roman" w:cs="Times New Roman"/>
          <w:color w:val="000000"/>
          <w:w w:val="99"/>
          <w:sz w:val="20"/>
          <w:szCs w:val="20"/>
        </w:rPr>
        <w:t>As we emerge from the slump in both mining and oil shares and the tremendous pressures placed upon those trying to sustain their business we are reminded of Psalm CXXIV v 7</w:t>
      </w:r>
      <w:proofErr w:type="gramStart"/>
      <w:r w:rsidRPr="00607022">
        <w:rPr>
          <w:rFonts w:ascii="Times New Roman" w:hAnsi="Times New Roman" w:cs="Times New Roman"/>
          <w:color w:val="000000"/>
          <w:w w:val="99"/>
          <w:sz w:val="20"/>
          <w:szCs w:val="20"/>
        </w:rPr>
        <w:t>,8</w:t>
      </w:r>
      <w:proofErr w:type="gramEnd"/>
      <w:r w:rsidRPr="00607022">
        <w:rPr>
          <w:rFonts w:ascii="Times New Roman" w:hAnsi="Times New Roman" w:cs="Times New Roman"/>
          <w:color w:val="000000"/>
          <w:w w:val="99"/>
          <w:sz w:val="20"/>
          <w:szCs w:val="20"/>
        </w:rPr>
        <w:t>:</w:t>
      </w: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i/>
          <w:iCs/>
          <w:color w:val="000000"/>
          <w:w w:val="99"/>
          <w:sz w:val="20"/>
          <w:szCs w:val="20"/>
        </w:rPr>
      </w:pPr>
      <w:r w:rsidRPr="00607022">
        <w:rPr>
          <w:rFonts w:ascii="Times New Roman" w:hAnsi="Times New Roman" w:cs="Times New Roman"/>
          <w:i/>
          <w:iCs/>
          <w:color w:val="000000"/>
          <w:w w:val="99"/>
          <w:sz w:val="20"/>
          <w:szCs w:val="20"/>
        </w:rPr>
        <w:t>Blessed be the Lord, who hath not given us as a prey to their teeth.</w:t>
      </w: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i/>
          <w:iCs/>
          <w:color w:val="000000"/>
          <w:w w:val="99"/>
          <w:sz w:val="20"/>
          <w:szCs w:val="20"/>
        </w:rPr>
      </w:pPr>
      <w:r w:rsidRPr="00607022">
        <w:rPr>
          <w:rFonts w:ascii="Times New Roman" w:hAnsi="Times New Roman" w:cs="Times New Roman"/>
          <w:i/>
          <w:iCs/>
          <w:color w:val="000000"/>
          <w:w w:val="99"/>
          <w:sz w:val="20"/>
          <w:szCs w:val="20"/>
        </w:rPr>
        <w:t>Our soul is escaped as a bird out of the snare of the fowlers; the snare is broken and we are escaped.</w:t>
      </w: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r w:rsidRPr="00607022">
        <w:rPr>
          <w:rFonts w:ascii="Times New Roman" w:hAnsi="Times New Roman" w:cs="Times New Roman"/>
          <w:i/>
          <w:iCs/>
          <w:color w:val="000000"/>
          <w:w w:val="99"/>
          <w:sz w:val="20"/>
          <w:szCs w:val="20"/>
        </w:rPr>
        <w:t>Our help is in the name of the Lord, who made heaven and earth.</w:t>
      </w: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r w:rsidRPr="00607022">
        <w:rPr>
          <w:rFonts w:ascii="Times New Roman" w:hAnsi="Times New Roman" w:cs="Times New Roman"/>
          <w:color w:val="000000"/>
          <w:w w:val="99"/>
          <w:sz w:val="20"/>
          <w:szCs w:val="20"/>
        </w:rPr>
        <w:t xml:space="preserve">It would be remiss not to acknowledge and mark the passing of several friends and luminaries who have enriched my life and that of others over many years: Geordie Kidston, who did do much to emulate Teddy Butler-Henderson with his own observations and eclectic search for information from hither and thither; Peter Bennett, whose trenchant and nearly always correct views were presented without malice or respect for convention, but always made you stop and think (most recently in December recommending gold shares); Hugh </w:t>
      </w:r>
      <w:proofErr w:type="spellStart"/>
      <w:r w:rsidRPr="00607022">
        <w:rPr>
          <w:rFonts w:ascii="Times New Roman" w:hAnsi="Times New Roman" w:cs="Times New Roman"/>
          <w:color w:val="000000"/>
          <w:w w:val="99"/>
          <w:sz w:val="20"/>
          <w:szCs w:val="20"/>
        </w:rPr>
        <w:t>Mansel</w:t>
      </w:r>
      <w:proofErr w:type="spellEnd"/>
      <w:r w:rsidRPr="00607022">
        <w:rPr>
          <w:rFonts w:ascii="Times New Roman" w:hAnsi="Times New Roman" w:cs="Times New Roman"/>
          <w:color w:val="000000"/>
          <w:w w:val="99"/>
          <w:sz w:val="20"/>
          <w:szCs w:val="20"/>
        </w:rPr>
        <w:t xml:space="preserve"> who was discrete and knowledgeable; and most recently Colin Orr-Ewing, the brains behind </w:t>
      </w:r>
      <w:proofErr w:type="spellStart"/>
      <w:r w:rsidRPr="00607022">
        <w:rPr>
          <w:rFonts w:ascii="Times New Roman" w:hAnsi="Times New Roman" w:cs="Times New Roman"/>
          <w:color w:val="000000"/>
          <w:w w:val="99"/>
          <w:sz w:val="20"/>
          <w:szCs w:val="20"/>
        </w:rPr>
        <w:t>Bacanora</w:t>
      </w:r>
      <w:proofErr w:type="spellEnd"/>
      <w:r w:rsidRPr="00607022">
        <w:rPr>
          <w:rFonts w:ascii="Times New Roman" w:hAnsi="Times New Roman" w:cs="Times New Roman"/>
          <w:color w:val="000000"/>
          <w:w w:val="99"/>
          <w:sz w:val="20"/>
          <w:szCs w:val="20"/>
        </w:rPr>
        <w:t xml:space="preserve">, the Lithium project in Mexico which he planned to provide for his Pension. His humour and infectious enthusiasm will be missed by many, so soon after saying farewell to his wife Fleur. He enhanced the lives of so many, and represented the very best of the English Gentleman wherever he went. </w:t>
      </w: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r w:rsidRPr="00607022">
        <w:rPr>
          <w:rFonts w:ascii="Times New Roman" w:hAnsi="Times New Roman" w:cs="Times New Roman"/>
          <w:color w:val="000000"/>
          <w:w w:val="99"/>
          <w:sz w:val="20"/>
          <w:szCs w:val="20"/>
        </w:rPr>
        <w:t>It remains for me to thank my fellow directors for their calmness and counsel in the face of conflicting opinions and challenging conditions, and look forward to working together to meet the opportunities at hand in a rapidly changing world.</w:t>
      </w: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p>
    <w:p w:rsidR="00607022" w:rsidRPr="00607022" w:rsidRDefault="00607022" w:rsidP="00607022">
      <w:pPr>
        <w:widowControl w:val="0"/>
        <w:suppressAutoHyphens/>
        <w:autoSpaceDE w:val="0"/>
        <w:autoSpaceDN w:val="0"/>
        <w:adjustRightInd w:val="0"/>
        <w:spacing w:after="0" w:line="288" w:lineRule="auto"/>
        <w:textAlignment w:val="center"/>
        <w:rPr>
          <w:rFonts w:ascii="Times New Roman" w:hAnsi="Times New Roman" w:cs="Times New Roman"/>
          <w:color w:val="000000"/>
          <w:w w:val="99"/>
          <w:sz w:val="20"/>
          <w:szCs w:val="20"/>
        </w:rPr>
      </w:pPr>
      <w:r w:rsidRPr="00607022">
        <w:rPr>
          <w:rFonts w:ascii="Times New Roman" w:hAnsi="Times New Roman" w:cs="Times New Roman"/>
          <w:color w:val="000000"/>
          <w:w w:val="99"/>
          <w:sz w:val="20"/>
          <w:szCs w:val="20"/>
        </w:rPr>
        <w:t>Robin Woodbine Parish</w:t>
      </w:r>
    </w:p>
    <w:p w:rsidR="00607022" w:rsidRPr="00607022" w:rsidRDefault="00607022" w:rsidP="00607022">
      <w:pPr>
        <w:spacing w:after="0" w:line="240" w:lineRule="auto"/>
        <w:rPr>
          <w:rFonts w:ascii="Times New Roman" w:hAnsi="Times New Roman" w:cs="Times New Roman"/>
          <w:color w:val="000000"/>
          <w:w w:val="99"/>
          <w:sz w:val="20"/>
          <w:szCs w:val="20"/>
        </w:rPr>
      </w:pPr>
      <w:r w:rsidRPr="00607022">
        <w:rPr>
          <w:rFonts w:ascii="Times New Roman" w:hAnsi="Times New Roman" w:cs="Times New Roman"/>
          <w:color w:val="000000"/>
          <w:w w:val="99"/>
          <w:sz w:val="20"/>
          <w:szCs w:val="20"/>
        </w:rPr>
        <w:t>30 September 2016</w:t>
      </w:r>
    </w:p>
    <w:p w:rsidR="00607022" w:rsidRPr="00607022" w:rsidRDefault="00607022" w:rsidP="00607022">
      <w:pPr>
        <w:spacing w:after="0" w:line="240" w:lineRule="auto"/>
        <w:rPr>
          <w:rFonts w:ascii="Times New Roman" w:hAnsi="Times New Roman" w:cs="Times New Roman"/>
          <w:color w:val="000000"/>
          <w:w w:val="99"/>
          <w:sz w:val="20"/>
          <w:szCs w:val="20"/>
        </w:rPr>
      </w:pPr>
    </w:p>
    <w:p w:rsidR="00607022" w:rsidRPr="00607022" w:rsidRDefault="00607022" w:rsidP="00607022">
      <w:pPr>
        <w:spacing w:after="0" w:line="240" w:lineRule="auto"/>
        <w:rPr>
          <w:rFonts w:ascii="Times New Roman" w:hAnsi="Times New Roman" w:cs="Times New Roman"/>
          <w:color w:val="000000"/>
          <w:w w:val="99"/>
          <w:sz w:val="20"/>
          <w:szCs w:val="20"/>
        </w:rPr>
      </w:pPr>
    </w:p>
    <w:p w:rsidR="00607022" w:rsidRPr="00607022" w:rsidRDefault="00607022" w:rsidP="00607022">
      <w:pPr>
        <w:spacing w:after="0" w:line="240" w:lineRule="auto"/>
        <w:rPr>
          <w:rFonts w:ascii="Times New Roman" w:hAnsi="Times New Roman" w:cs="Times New Roman"/>
          <w:color w:val="000000"/>
          <w:w w:val="99"/>
          <w:sz w:val="20"/>
          <w:szCs w:val="20"/>
        </w:rPr>
      </w:pPr>
    </w:p>
    <w:p w:rsidR="00607022" w:rsidRPr="00607022" w:rsidRDefault="00607022" w:rsidP="00607022">
      <w:pPr>
        <w:spacing w:after="0" w:line="240" w:lineRule="auto"/>
        <w:rPr>
          <w:rFonts w:ascii="Times New Roman" w:hAnsi="Times New Roman" w:cs="Times New Roman"/>
          <w:color w:val="000000"/>
          <w:w w:val="99"/>
          <w:sz w:val="20"/>
          <w:szCs w:val="20"/>
        </w:rPr>
      </w:pPr>
    </w:p>
    <w:p w:rsidR="00607022" w:rsidRPr="00607022" w:rsidRDefault="00607022" w:rsidP="00607022">
      <w:pPr>
        <w:spacing w:after="0" w:line="240" w:lineRule="auto"/>
        <w:rPr>
          <w:rFonts w:ascii="Times New Roman" w:hAnsi="Times New Roman" w:cs="Times New Roman"/>
          <w:color w:val="000000"/>
          <w:w w:val="99"/>
          <w:sz w:val="20"/>
          <w:szCs w:val="20"/>
        </w:rPr>
      </w:pPr>
    </w:p>
    <w:p w:rsidR="00607022" w:rsidRPr="00607022" w:rsidRDefault="00607022" w:rsidP="00607022">
      <w:pPr>
        <w:spacing w:after="0" w:line="240" w:lineRule="auto"/>
        <w:rPr>
          <w:rFonts w:ascii="Times New Roman" w:hAnsi="Times New Roman" w:cs="Times New Roman"/>
          <w:color w:val="000000"/>
          <w:w w:val="99"/>
          <w:sz w:val="20"/>
          <w:szCs w:val="20"/>
        </w:rPr>
      </w:pPr>
    </w:p>
    <w:p w:rsidR="00607022" w:rsidRPr="00607022" w:rsidRDefault="00607022" w:rsidP="00607022">
      <w:pPr>
        <w:spacing w:after="0" w:line="240" w:lineRule="auto"/>
        <w:rPr>
          <w:rFonts w:ascii="Times New Roman" w:hAnsi="Times New Roman" w:cs="Times New Roman"/>
          <w:color w:val="000000"/>
          <w:w w:val="99"/>
          <w:sz w:val="20"/>
          <w:szCs w:val="20"/>
        </w:rPr>
      </w:pPr>
    </w:p>
    <w:p w:rsidR="00607022" w:rsidRPr="00607022" w:rsidRDefault="00607022" w:rsidP="00607022">
      <w:pPr>
        <w:spacing w:after="0" w:line="240" w:lineRule="auto"/>
        <w:rPr>
          <w:rFonts w:ascii="Times New Roman" w:hAnsi="Times New Roman" w:cs="Times New Roman"/>
          <w:color w:val="000000"/>
          <w:w w:val="99"/>
          <w:sz w:val="20"/>
          <w:szCs w:val="20"/>
        </w:rPr>
      </w:pPr>
    </w:p>
    <w:p w:rsidR="00607022" w:rsidRPr="00607022" w:rsidRDefault="00607022" w:rsidP="00607022">
      <w:pPr>
        <w:spacing w:after="0" w:line="240" w:lineRule="auto"/>
        <w:rPr>
          <w:rFonts w:ascii="Times New Roman" w:hAnsi="Times New Roman" w:cs="Times New Roman"/>
          <w:color w:val="000000"/>
          <w:w w:val="99"/>
          <w:sz w:val="20"/>
          <w:szCs w:val="20"/>
        </w:rPr>
      </w:pPr>
    </w:p>
    <w:p w:rsidR="00607022" w:rsidRPr="00607022" w:rsidRDefault="00607022" w:rsidP="00607022">
      <w:pPr>
        <w:spacing w:after="0" w:line="240" w:lineRule="auto"/>
        <w:rPr>
          <w:rFonts w:ascii="Times New Roman" w:hAnsi="Times New Roman" w:cs="Times New Roman"/>
          <w:color w:val="000000"/>
          <w:w w:val="99"/>
          <w:sz w:val="20"/>
          <w:szCs w:val="20"/>
        </w:rPr>
      </w:pPr>
    </w:p>
    <w:p w:rsidR="00607022" w:rsidRPr="00607022" w:rsidRDefault="00607022" w:rsidP="00607022">
      <w:pPr>
        <w:spacing w:after="0" w:line="240" w:lineRule="auto"/>
        <w:rPr>
          <w:rFonts w:ascii="Times New Roman" w:hAnsi="Times New Roman" w:cs="Times New Roman"/>
          <w:color w:val="000000"/>
          <w:w w:val="99"/>
          <w:sz w:val="20"/>
          <w:szCs w:val="20"/>
        </w:rPr>
      </w:pPr>
    </w:p>
    <w:p w:rsidR="00607022" w:rsidRPr="00607022" w:rsidRDefault="00607022" w:rsidP="00607022">
      <w:pPr>
        <w:spacing w:after="0" w:line="240" w:lineRule="auto"/>
        <w:rPr>
          <w:rFonts w:ascii="Times New Roman" w:hAnsi="Times New Roman" w:cs="Times New Roman"/>
          <w:color w:val="000000"/>
          <w:w w:val="99"/>
          <w:sz w:val="20"/>
          <w:szCs w:val="20"/>
        </w:rPr>
      </w:pPr>
    </w:p>
    <w:p w:rsidR="00607022" w:rsidRPr="00607022" w:rsidRDefault="00607022" w:rsidP="00607022">
      <w:pPr>
        <w:spacing w:after="0" w:line="240" w:lineRule="auto"/>
        <w:rPr>
          <w:rFonts w:ascii="Times New Roman" w:hAnsi="Times New Roman" w:cs="Times New Roman"/>
          <w:color w:val="000000"/>
          <w:w w:val="99"/>
          <w:sz w:val="20"/>
          <w:szCs w:val="20"/>
        </w:rPr>
      </w:pPr>
    </w:p>
    <w:p w:rsidR="00607022" w:rsidRPr="00607022" w:rsidRDefault="00607022" w:rsidP="00607022">
      <w:pPr>
        <w:spacing w:after="0" w:line="240" w:lineRule="auto"/>
        <w:rPr>
          <w:rFonts w:ascii="Times New Roman" w:hAnsi="Times New Roman" w:cs="Times New Roman"/>
          <w:color w:val="000000"/>
          <w:w w:val="99"/>
          <w:sz w:val="20"/>
          <w:szCs w:val="20"/>
        </w:rPr>
      </w:pPr>
    </w:p>
    <w:p w:rsidR="00607022" w:rsidRPr="00607022" w:rsidRDefault="00607022" w:rsidP="00607022">
      <w:pPr>
        <w:spacing w:after="0" w:line="240" w:lineRule="auto"/>
        <w:rPr>
          <w:rFonts w:ascii="Times New Roman" w:hAnsi="Times New Roman" w:cs="Times New Roman"/>
          <w:color w:val="000000"/>
          <w:w w:val="99"/>
          <w:sz w:val="20"/>
          <w:szCs w:val="20"/>
        </w:rPr>
      </w:pPr>
    </w:p>
    <w:p w:rsidR="00607022" w:rsidRPr="00607022" w:rsidRDefault="00607022" w:rsidP="00607022">
      <w:pPr>
        <w:spacing w:after="0" w:line="240" w:lineRule="auto"/>
        <w:rPr>
          <w:rFonts w:ascii="Times New Roman" w:hAnsi="Times New Roman" w:cs="Times New Roman"/>
          <w:color w:val="000000"/>
          <w:w w:val="99"/>
          <w:sz w:val="20"/>
          <w:szCs w:val="20"/>
        </w:rPr>
      </w:pPr>
    </w:p>
    <w:p w:rsidR="00607022" w:rsidRPr="00607022" w:rsidRDefault="00607022" w:rsidP="00607022">
      <w:pPr>
        <w:spacing w:after="0" w:line="240" w:lineRule="auto"/>
        <w:rPr>
          <w:rFonts w:ascii="Times New Roman" w:hAnsi="Times New Roman" w:cs="Times New Roman"/>
          <w:color w:val="000000"/>
          <w:w w:val="99"/>
          <w:sz w:val="20"/>
          <w:szCs w:val="20"/>
        </w:rPr>
      </w:pPr>
    </w:p>
    <w:p w:rsidR="00433406" w:rsidRPr="00607022" w:rsidRDefault="00433406" w:rsidP="00607022">
      <w:pPr>
        <w:spacing w:after="0" w:line="240" w:lineRule="auto"/>
        <w:rPr>
          <w:rFonts w:ascii="Times New Roman" w:hAnsi="Times New Roman" w:cs="Times New Roman"/>
          <w:b/>
          <w:bCs/>
          <w:sz w:val="20"/>
          <w:szCs w:val="20"/>
        </w:rPr>
      </w:pPr>
      <w:r w:rsidRPr="00607022">
        <w:rPr>
          <w:rFonts w:ascii="Times New Roman" w:hAnsi="Times New Roman" w:cs="Times New Roman"/>
          <w:b/>
          <w:bCs/>
          <w:sz w:val="20"/>
          <w:szCs w:val="20"/>
        </w:rPr>
        <w:t>CONSOLIDATED STATEMENT</w:t>
      </w:r>
      <w:r w:rsidR="00882370" w:rsidRPr="00607022">
        <w:rPr>
          <w:rFonts w:ascii="Times New Roman" w:hAnsi="Times New Roman" w:cs="Times New Roman"/>
          <w:b/>
          <w:bCs/>
          <w:sz w:val="20"/>
          <w:szCs w:val="20"/>
        </w:rPr>
        <w:t xml:space="preserve"> OF COMPREHENSIVE INCOME</w:t>
      </w:r>
    </w:p>
    <w:p w:rsidR="00433406" w:rsidRPr="00607022" w:rsidRDefault="00DC7B28" w:rsidP="00433406">
      <w:pPr>
        <w:spacing w:line="312" w:lineRule="auto"/>
        <w:rPr>
          <w:rFonts w:ascii="Times New Roman" w:hAnsi="Times New Roman" w:cs="Times New Roman"/>
          <w:spacing w:val="2"/>
          <w:sz w:val="20"/>
          <w:szCs w:val="20"/>
        </w:rPr>
      </w:pPr>
      <w:proofErr w:type="gramStart"/>
      <w:r w:rsidRPr="00607022">
        <w:rPr>
          <w:rFonts w:ascii="Times New Roman" w:hAnsi="Times New Roman" w:cs="Times New Roman"/>
          <w:spacing w:val="2"/>
          <w:sz w:val="20"/>
          <w:szCs w:val="20"/>
        </w:rPr>
        <w:lastRenderedPageBreak/>
        <w:t>f</w:t>
      </w:r>
      <w:r w:rsidR="00433406" w:rsidRPr="00607022">
        <w:rPr>
          <w:rFonts w:ascii="Times New Roman" w:hAnsi="Times New Roman" w:cs="Times New Roman"/>
          <w:spacing w:val="2"/>
          <w:sz w:val="20"/>
          <w:szCs w:val="20"/>
        </w:rPr>
        <w:t>or</w:t>
      </w:r>
      <w:proofErr w:type="gramEnd"/>
      <w:r w:rsidR="00433406" w:rsidRPr="00607022">
        <w:rPr>
          <w:rFonts w:ascii="Times New Roman" w:hAnsi="Times New Roman" w:cs="Times New Roman"/>
          <w:spacing w:val="2"/>
          <w:sz w:val="20"/>
          <w:szCs w:val="20"/>
        </w:rPr>
        <w:t xml:space="preserve"> the year ended </w:t>
      </w:r>
      <w:r w:rsidRPr="00607022">
        <w:rPr>
          <w:rFonts w:ascii="Times New Roman" w:hAnsi="Times New Roman" w:cs="Times New Roman"/>
          <w:spacing w:val="2"/>
          <w:sz w:val="20"/>
          <w:szCs w:val="20"/>
        </w:rPr>
        <w:t>30 June</w:t>
      </w:r>
    </w:p>
    <w:tbl>
      <w:tblPr>
        <w:tblW w:w="10956" w:type="dxa"/>
        <w:tblInd w:w="108" w:type="dxa"/>
        <w:tblLook w:val="04A0" w:firstRow="1" w:lastRow="0" w:firstColumn="1" w:lastColumn="0" w:noHBand="0" w:noVBand="1"/>
      </w:tblPr>
      <w:tblGrid>
        <w:gridCol w:w="5387"/>
        <w:gridCol w:w="372"/>
        <w:gridCol w:w="1329"/>
        <w:gridCol w:w="707"/>
        <w:gridCol w:w="176"/>
        <w:gridCol w:w="247"/>
        <w:gridCol w:w="1280"/>
        <w:gridCol w:w="360"/>
        <w:gridCol w:w="236"/>
        <w:gridCol w:w="862"/>
      </w:tblGrid>
      <w:tr w:rsidR="00433406" w:rsidRPr="00607022" w:rsidTr="00DE286B">
        <w:trPr>
          <w:gridAfter w:val="3"/>
          <w:wAfter w:w="1458" w:type="dxa"/>
          <w:trHeight w:hRule="exact" w:val="227"/>
        </w:trPr>
        <w:tc>
          <w:tcPr>
            <w:tcW w:w="5387" w:type="dxa"/>
            <w:tcBorders>
              <w:top w:val="nil"/>
              <w:left w:val="nil"/>
              <w:bottom w:val="nil"/>
              <w:right w:val="nil"/>
            </w:tcBorders>
            <w:shd w:val="clear" w:color="auto" w:fill="auto"/>
            <w:noWrap/>
            <w:vAlign w:val="bottom"/>
            <w:hideMark/>
          </w:tcPr>
          <w:p w:rsidR="00433406" w:rsidRPr="00607022" w:rsidRDefault="00433406" w:rsidP="00D855A0">
            <w:pPr>
              <w:rPr>
                <w:rFonts w:ascii="Times New Roman" w:hAnsi="Times New Roman" w:cs="Times New Roman"/>
                <w:sz w:val="20"/>
                <w:szCs w:val="20"/>
                <w:highlight w:val="yellow"/>
                <w:lang w:eastAsia="en-GB"/>
              </w:rPr>
            </w:pPr>
          </w:p>
        </w:tc>
        <w:tc>
          <w:tcPr>
            <w:tcW w:w="1701" w:type="dxa"/>
            <w:gridSpan w:val="2"/>
            <w:tcBorders>
              <w:top w:val="nil"/>
              <w:left w:val="nil"/>
              <w:bottom w:val="nil"/>
              <w:right w:val="nil"/>
            </w:tcBorders>
            <w:shd w:val="clear" w:color="auto" w:fill="auto"/>
            <w:noWrap/>
            <w:vAlign w:val="bottom"/>
            <w:hideMark/>
          </w:tcPr>
          <w:p w:rsidR="00433406" w:rsidRPr="00607022" w:rsidRDefault="00433406" w:rsidP="00D855A0">
            <w:pPr>
              <w:jc w:val="right"/>
              <w:rPr>
                <w:rFonts w:ascii="Times New Roman" w:hAnsi="Times New Roman" w:cs="Times New Roman"/>
                <w:b/>
                <w:bCs/>
                <w:sz w:val="20"/>
                <w:szCs w:val="20"/>
                <w:highlight w:val="yellow"/>
                <w:lang w:eastAsia="en-GB"/>
              </w:rPr>
            </w:pPr>
          </w:p>
        </w:tc>
        <w:tc>
          <w:tcPr>
            <w:tcW w:w="707" w:type="dxa"/>
            <w:tcBorders>
              <w:top w:val="nil"/>
              <w:left w:val="nil"/>
              <w:bottom w:val="nil"/>
              <w:right w:val="nil"/>
            </w:tcBorders>
            <w:shd w:val="clear" w:color="auto" w:fill="auto"/>
            <w:noWrap/>
            <w:vAlign w:val="bottom"/>
            <w:hideMark/>
          </w:tcPr>
          <w:p w:rsidR="00433406" w:rsidRPr="00607022" w:rsidRDefault="00433406" w:rsidP="00D855A0">
            <w:pPr>
              <w:jc w:val="right"/>
              <w:rPr>
                <w:rFonts w:ascii="Times New Roman" w:hAnsi="Times New Roman" w:cs="Times New Roman"/>
                <w:sz w:val="20"/>
                <w:szCs w:val="20"/>
                <w:highlight w:val="yellow"/>
                <w:lang w:eastAsia="en-GB"/>
              </w:rPr>
            </w:pPr>
          </w:p>
        </w:tc>
        <w:tc>
          <w:tcPr>
            <w:tcW w:w="1703" w:type="dxa"/>
            <w:gridSpan w:val="3"/>
            <w:tcBorders>
              <w:top w:val="nil"/>
              <w:left w:val="nil"/>
              <w:bottom w:val="nil"/>
              <w:right w:val="nil"/>
            </w:tcBorders>
            <w:shd w:val="clear" w:color="auto" w:fill="auto"/>
            <w:noWrap/>
            <w:vAlign w:val="bottom"/>
            <w:hideMark/>
          </w:tcPr>
          <w:p w:rsidR="00433406" w:rsidRPr="00607022" w:rsidRDefault="00433406" w:rsidP="003E2868">
            <w:pPr>
              <w:jc w:val="right"/>
              <w:rPr>
                <w:rFonts w:ascii="Times New Roman" w:hAnsi="Times New Roman" w:cs="Times New Roman"/>
                <w:sz w:val="20"/>
                <w:szCs w:val="20"/>
                <w:highlight w:val="yellow"/>
                <w:lang w:eastAsia="en-GB"/>
              </w:rPr>
            </w:pPr>
          </w:p>
        </w:tc>
      </w:tr>
      <w:tr w:rsidR="00607022" w:rsidRPr="00607022" w:rsidTr="00DE286B">
        <w:trPr>
          <w:gridAfter w:val="3"/>
          <w:wAfter w:w="1458" w:type="dxa"/>
          <w:trHeight w:val="315"/>
        </w:trPr>
        <w:tc>
          <w:tcPr>
            <w:tcW w:w="5387" w:type="dxa"/>
            <w:tcBorders>
              <w:top w:val="nil"/>
              <w:left w:val="nil"/>
              <w:bottom w:val="nil"/>
              <w:right w:val="nil"/>
            </w:tcBorders>
            <w:shd w:val="clear" w:color="auto" w:fill="auto"/>
            <w:noWrap/>
            <w:vAlign w:val="bottom"/>
            <w:hideMark/>
          </w:tcPr>
          <w:p w:rsidR="00607022" w:rsidRPr="00607022" w:rsidRDefault="00607022" w:rsidP="00607022">
            <w:pPr>
              <w:spacing w:after="0" w:line="240" w:lineRule="auto"/>
              <w:rPr>
                <w:rFonts w:ascii="Times New Roman" w:hAnsi="Times New Roman" w:cs="Times New Roman"/>
                <w:sz w:val="20"/>
                <w:szCs w:val="20"/>
                <w:lang w:eastAsia="en-GB"/>
              </w:rPr>
            </w:pPr>
          </w:p>
        </w:tc>
        <w:tc>
          <w:tcPr>
            <w:tcW w:w="1701" w:type="dxa"/>
            <w:gridSpan w:val="2"/>
            <w:tcBorders>
              <w:top w:val="nil"/>
              <w:left w:val="nil"/>
              <w:bottom w:val="nil"/>
              <w:right w:val="nil"/>
            </w:tcBorders>
            <w:shd w:val="clear" w:color="auto" w:fill="auto"/>
            <w:noWrap/>
            <w:vAlign w:val="bottom"/>
            <w:hideMark/>
          </w:tcPr>
          <w:p w:rsidR="00607022" w:rsidRPr="00607022" w:rsidRDefault="00607022" w:rsidP="00607022">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30 June 201</w:t>
            </w:r>
            <w:r w:rsidR="00C34A99">
              <w:rPr>
                <w:rFonts w:ascii="Times New Roman" w:hAnsi="Times New Roman" w:cs="Times New Roman"/>
                <w:b/>
                <w:bCs/>
                <w:sz w:val="20"/>
                <w:szCs w:val="20"/>
                <w:lang w:eastAsia="en-GB"/>
              </w:rPr>
              <w:t>6</w:t>
            </w:r>
          </w:p>
        </w:tc>
        <w:tc>
          <w:tcPr>
            <w:tcW w:w="707" w:type="dxa"/>
            <w:tcBorders>
              <w:top w:val="nil"/>
              <w:left w:val="nil"/>
              <w:bottom w:val="nil"/>
              <w:right w:val="nil"/>
            </w:tcBorders>
            <w:shd w:val="clear" w:color="auto" w:fill="auto"/>
            <w:noWrap/>
            <w:vAlign w:val="bottom"/>
            <w:hideMark/>
          </w:tcPr>
          <w:p w:rsidR="00607022" w:rsidRPr="00607022" w:rsidRDefault="00607022" w:rsidP="00607022">
            <w:pPr>
              <w:spacing w:after="0" w:line="240" w:lineRule="auto"/>
              <w:rPr>
                <w:rFonts w:ascii="Times New Roman" w:hAnsi="Times New Roman" w:cs="Times New Roman"/>
                <w:sz w:val="20"/>
                <w:szCs w:val="20"/>
                <w:lang w:eastAsia="en-GB"/>
              </w:rPr>
            </w:pPr>
          </w:p>
        </w:tc>
        <w:tc>
          <w:tcPr>
            <w:tcW w:w="1703" w:type="dxa"/>
            <w:gridSpan w:val="3"/>
            <w:tcBorders>
              <w:top w:val="nil"/>
              <w:left w:val="nil"/>
              <w:bottom w:val="nil"/>
              <w:right w:val="nil"/>
            </w:tcBorders>
            <w:shd w:val="clear" w:color="auto" w:fill="auto"/>
            <w:noWrap/>
            <w:vAlign w:val="bottom"/>
            <w:hideMark/>
          </w:tcPr>
          <w:p w:rsidR="00607022" w:rsidRPr="00607022" w:rsidRDefault="00607022" w:rsidP="00607022">
            <w:pPr>
              <w:spacing w:after="0" w:line="240" w:lineRule="auto"/>
              <w:jc w:val="right"/>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30 June 2015</w:t>
            </w:r>
          </w:p>
        </w:tc>
      </w:tr>
      <w:tr w:rsidR="00607022" w:rsidRPr="00607022" w:rsidTr="00DE286B">
        <w:trPr>
          <w:gridAfter w:val="3"/>
          <w:wAfter w:w="1458" w:type="dxa"/>
          <w:trHeight w:val="315"/>
        </w:trPr>
        <w:tc>
          <w:tcPr>
            <w:tcW w:w="5387" w:type="dxa"/>
            <w:tcBorders>
              <w:top w:val="nil"/>
              <w:left w:val="nil"/>
              <w:bottom w:val="nil"/>
              <w:right w:val="nil"/>
            </w:tcBorders>
            <w:shd w:val="clear" w:color="auto" w:fill="auto"/>
            <w:noWrap/>
            <w:vAlign w:val="bottom"/>
            <w:hideMark/>
          </w:tcPr>
          <w:p w:rsidR="00607022" w:rsidRPr="00607022" w:rsidRDefault="00607022" w:rsidP="00607022">
            <w:pPr>
              <w:spacing w:after="0" w:line="240" w:lineRule="auto"/>
              <w:rPr>
                <w:rFonts w:ascii="Times New Roman" w:hAnsi="Times New Roman" w:cs="Times New Roman"/>
                <w:sz w:val="20"/>
                <w:szCs w:val="20"/>
                <w:lang w:eastAsia="en-GB"/>
              </w:rPr>
            </w:pPr>
          </w:p>
        </w:tc>
        <w:tc>
          <w:tcPr>
            <w:tcW w:w="1701" w:type="dxa"/>
            <w:gridSpan w:val="2"/>
            <w:tcBorders>
              <w:top w:val="nil"/>
              <w:left w:val="nil"/>
              <w:bottom w:val="nil"/>
              <w:right w:val="nil"/>
            </w:tcBorders>
            <w:shd w:val="clear" w:color="auto" w:fill="auto"/>
            <w:noWrap/>
            <w:vAlign w:val="bottom"/>
            <w:hideMark/>
          </w:tcPr>
          <w:p w:rsidR="00607022" w:rsidRPr="00607022" w:rsidRDefault="00607022" w:rsidP="00607022">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 xml:space="preserve">£    </w:t>
            </w:r>
          </w:p>
        </w:tc>
        <w:tc>
          <w:tcPr>
            <w:tcW w:w="707" w:type="dxa"/>
            <w:tcBorders>
              <w:top w:val="nil"/>
              <w:left w:val="nil"/>
              <w:bottom w:val="nil"/>
              <w:right w:val="nil"/>
            </w:tcBorders>
            <w:shd w:val="clear" w:color="auto" w:fill="auto"/>
            <w:noWrap/>
            <w:vAlign w:val="bottom"/>
            <w:hideMark/>
          </w:tcPr>
          <w:p w:rsidR="00607022" w:rsidRPr="00607022" w:rsidRDefault="00607022" w:rsidP="00607022">
            <w:pPr>
              <w:spacing w:after="0" w:line="240" w:lineRule="auto"/>
              <w:jc w:val="right"/>
              <w:rPr>
                <w:rFonts w:ascii="Times New Roman" w:hAnsi="Times New Roman" w:cs="Times New Roman"/>
                <w:sz w:val="20"/>
                <w:szCs w:val="20"/>
                <w:lang w:eastAsia="en-GB"/>
              </w:rPr>
            </w:pPr>
          </w:p>
        </w:tc>
        <w:tc>
          <w:tcPr>
            <w:tcW w:w="1703" w:type="dxa"/>
            <w:gridSpan w:val="3"/>
            <w:tcBorders>
              <w:top w:val="nil"/>
              <w:left w:val="nil"/>
              <w:bottom w:val="nil"/>
              <w:right w:val="nil"/>
            </w:tcBorders>
            <w:shd w:val="clear" w:color="auto" w:fill="auto"/>
            <w:noWrap/>
            <w:vAlign w:val="bottom"/>
            <w:hideMark/>
          </w:tcPr>
          <w:p w:rsidR="00607022" w:rsidRPr="00607022" w:rsidRDefault="00607022" w:rsidP="00607022">
            <w:pPr>
              <w:spacing w:after="0" w:line="240" w:lineRule="auto"/>
              <w:jc w:val="right"/>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 xml:space="preserve">£    </w:t>
            </w:r>
          </w:p>
        </w:tc>
      </w:tr>
      <w:tr w:rsidR="00607022" w:rsidRPr="00607022" w:rsidTr="00AB4A7D">
        <w:trPr>
          <w:gridAfter w:val="3"/>
          <w:wAfter w:w="1458" w:type="dxa"/>
          <w:cantSplit/>
          <w:trHeight w:hRule="exact" w:val="397"/>
        </w:trPr>
        <w:tc>
          <w:tcPr>
            <w:tcW w:w="5387" w:type="dxa"/>
            <w:tcBorders>
              <w:top w:val="nil"/>
              <w:left w:val="nil"/>
              <w:bottom w:val="nil"/>
              <w:right w:val="nil"/>
            </w:tcBorders>
            <w:shd w:val="clear" w:color="auto" w:fill="auto"/>
            <w:noWrap/>
            <w:vAlign w:val="center"/>
            <w:hideMark/>
          </w:tcPr>
          <w:p w:rsidR="00607022" w:rsidRPr="00607022" w:rsidRDefault="00607022" w:rsidP="00607022">
            <w:pPr>
              <w:spacing w:after="0" w:line="240" w:lineRule="auto"/>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Revenue</w:t>
            </w:r>
          </w:p>
        </w:tc>
        <w:tc>
          <w:tcPr>
            <w:tcW w:w="1701" w:type="dxa"/>
            <w:gridSpan w:val="2"/>
            <w:tcBorders>
              <w:top w:val="nil"/>
              <w:left w:val="nil"/>
              <w:right w:val="nil"/>
            </w:tcBorders>
            <w:shd w:val="clear" w:color="auto" w:fill="auto"/>
            <w:noWrap/>
            <w:vAlign w:val="center"/>
          </w:tcPr>
          <w:p w:rsidR="00607022" w:rsidRPr="00607022" w:rsidRDefault="00C34A99" w:rsidP="00607022">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1,536,987</w:t>
            </w:r>
          </w:p>
        </w:tc>
        <w:tc>
          <w:tcPr>
            <w:tcW w:w="707" w:type="dxa"/>
            <w:tcBorders>
              <w:top w:val="nil"/>
              <w:left w:val="nil"/>
              <w:bottom w:val="nil"/>
              <w:right w:val="nil"/>
            </w:tcBorders>
            <w:shd w:val="clear" w:color="auto" w:fill="auto"/>
            <w:noWrap/>
            <w:vAlign w:val="center"/>
            <w:hideMark/>
          </w:tcPr>
          <w:p w:rsidR="00607022" w:rsidRPr="00607022" w:rsidRDefault="00607022" w:rsidP="00607022">
            <w:pPr>
              <w:spacing w:after="0" w:line="240" w:lineRule="auto"/>
              <w:rPr>
                <w:rFonts w:ascii="Times New Roman" w:hAnsi="Times New Roman" w:cs="Times New Roman"/>
                <w:sz w:val="20"/>
                <w:szCs w:val="20"/>
                <w:highlight w:val="yellow"/>
                <w:lang w:eastAsia="en-GB"/>
              </w:rPr>
            </w:pPr>
          </w:p>
        </w:tc>
        <w:tc>
          <w:tcPr>
            <w:tcW w:w="1703" w:type="dxa"/>
            <w:gridSpan w:val="3"/>
            <w:tcBorders>
              <w:top w:val="nil"/>
              <w:left w:val="nil"/>
              <w:right w:val="nil"/>
            </w:tcBorders>
            <w:shd w:val="clear" w:color="auto" w:fill="auto"/>
            <w:noWrap/>
            <w:vAlign w:val="center"/>
          </w:tcPr>
          <w:p w:rsidR="00607022" w:rsidRPr="00607022" w:rsidRDefault="00607022" w:rsidP="00607022">
            <w:pPr>
              <w:spacing w:after="0" w:line="240" w:lineRule="auto"/>
              <w:jc w:val="right"/>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1,594,264</w:t>
            </w:r>
          </w:p>
        </w:tc>
      </w:tr>
      <w:tr w:rsidR="00607022" w:rsidRPr="00607022" w:rsidTr="00AB4A7D">
        <w:trPr>
          <w:gridAfter w:val="3"/>
          <w:wAfter w:w="1458" w:type="dxa"/>
          <w:cantSplit/>
          <w:trHeight w:hRule="exact" w:val="340"/>
        </w:trPr>
        <w:tc>
          <w:tcPr>
            <w:tcW w:w="5387" w:type="dxa"/>
            <w:tcBorders>
              <w:top w:val="nil"/>
              <w:left w:val="nil"/>
              <w:bottom w:val="nil"/>
              <w:right w:val="nil"/>
            </w:tcBorders>
            <w:shd w:val="clear" w:color="auto" w:fill="auto"/>
            <w:noWrap/>
            <w:vAlign w:val="center"/>
            <w:hideMark/>
          </w:tcPr>
          <w:p w:rsidR="00607022" w:rsidRPr="00607022" w:rsidRDefault="00607022" w:rsidP="003B1479">
            <w:pPr>
              <w:spacing w:after="0" w:line="240" w:lineRule="auto"/>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 xml:space="preserve">Net </w:t>
            </w:r>
            <w:r w:rsidR="003B1479">
              <w:rPr>
                <w:rFonts w:ascii="Times New Roman" w:hAnsi="Times New Roman" w:cs="Times New Roman"/>
                <w:bCs/>
                <w:sz w:val="20"/>
                <w:szCs w:val="20"/>
                <w:lang w:eastAsia="en-GB"/>
              </w:rPr>
              <w:t xml:space="preserve">gains / </w:t>
            </w:r>
            <w:r w:rsidRPr="00607022">
              <w:rPr>
                <w:rFonts w:ascii="Times New Roman" w:hAnsi="Times New Roman" w:cs="Times New Roman"/>
                <w:bCs/>
                <w:sz w:val="20"/>
                <w:szCs w:val="20"/>
                <w:lang w:eastAsia="en-GB"/>
              </w:rPr>
              <w:t>(losses) on investments</w:t>
            </w:r>
          </w:p>
        </w:tc>
        <w:tc>
          <w:tcPr>
            <w:tcW w:w="1701" w:type="dxa"/>
            <w:gridSpan w:val="2"/>
            <w:tcBorders>
              <w:top w:val="nil"/>
              <w:left w:val="nil"/>
              <w:bottom w:val="single" w:sz="4" w:space="0" w:color="auto"/>
              <w:right w:val="nil"/>
            </w:tcBorders>
            <w:shd w:val="clear" w:color="auto" w:fill="auto"/>
            <w:noWrap/>
            <w:vAlign w:val="center"/>
          </w:tcPr>
          <w:p w:rsidR="00607022" w:rsidRPr="00607022" w:rsidRDefault="00C34A99" w:rsidP="00607022">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467,584</w:t>
            </w:r>
          </w:p>
        </w:tc>
        <w:tc>
          <w:tcPr>
            <w:tcW w:w="707" w:type="dxa"/>
            <w:tcBorders>
              <w:top w:val="nil"/>
              <w:left w:val="nil"/>
              <w:right w:val="nil"/>
            </w:tcBorders>
            <w:shd w:val="clear" w:color="auto" w:fill="auto"/>
            <w:noWrap/>
            <w:vAlign w:val="center"/>
            <w:hideMark/>
          </w:tcPr>
          <w:p w:rsidR="00607022" w:rsidRPr="00607022" w:rsidRDefault="00607022" w:rsidP="00607022">
            <w:pPr>
              <w:spacing w:after="0" w:line="240" w:lineRule="auto"/>
              <w:rPr>
                <w:rFonts w:ascii="Times New Roman" w:hAnsi="Times New Roman" w:cs="Times New Roman"/>
                <w:sz w:val="20"/>
                <w:szCs w:val="20"/>
                <w:highlight w:val="yellow"/>
                <w:lang w:eastAsia="en-GB"/>
              </w:rPr>
            </w:pPr>
          </w:p>
        </w:tc>
        <w:tc>
          <w:tcPr>
            <w:tcW w:w="1703" w:type="dxa"/>
            <w:gridSpan w:val="3"/>
            <w:tcBorders>
              <w:top w:val="nil"/>
              <w:left w:val="nil"/>
              <w:bottom w:val="single" w:sz="4" w:space="0" w:color="auto"/>
              <w:right w:val="nil"/>
            </w:tcBorders>
            <w:shd w:val="clear" w:color="auto" w:fill="auto"/>
            <w:noWrap/>
            <w:vAlign w:val="center"/>
          </w:tcPr>
          <w:p w:rsidR="00607022" w:rsidRPr="00607022" w:rsidRDefault="00607022" w:rsidP="00607022">
            <w:pPr>
              <w:spacing w:after="0" w:line="240" w:lineRule="auto"/>
              <w:jc w:val="right"/>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(10,106,417)</w:t>
            </w:r>
          </w:p>
        </w:tc>
      </w:tr>
      <w:tr w:rsidR="00607022" w:rsidRPr="00607022" w:rsidTr="00AB4A7D">
        <w:trPr>
          <w:gridAfter w:val="3"/>
          <w:wAfter w:w="1458" w:type="dxa"/>
          <w:cantSplit/>
          <w:trHeight w:hRule="exact" w:val="454"/>
        </w:trPr>
        <w:tc>
          <w:tcPr>
            <w:tcW w:w="5387" w:type="dxa"/>
            <w:tcBorders>
              <w:top w:val="nil"/>
              <w:left w:val="nil"/>
              <w:bottom w:val="nil"/>
              <w:right w:val="nil"/>
            </w:tcBorders>
            <w:shd w:val="clear" w:color="auto" w:fill="auto"/>
            <w:noWrap/>
            <w:vAlign w:val="center"/>
            <w:hideMark/>
          </w:tcPr>
          <w:p w:rsidR="00607022" w:rsidRPr="00607022" w:rsidRDefault="00607022" w:rsidP="003B1479">
            <w:pPr>
              <w:spacing w:after="0" w:line="240" w:lineRule="auto"/>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 xml:space="preserve">Total </w:t>
            </w:r>
            <w:r w:rsidR="003B1479">
              <w:rPr>
                <w:rFonts w:ascii="Times New Roman" w:hAnsi="Times New Roman" w:cs="Times New Roman"/>
                <w:b/>
                <w:bCs/>
                <w:sz w:val="20"/>
                <w:szCs w:val="20"/>
                <w:lang w:eastAsia="en-GB"/>
              </w:rPr>
              <w:t>investment income /</w:t>
            </w:r>
            <w:r w:rsidRPr="00607022">
              <w:rPr>
                <w:rFonts w:ascii="Times New Roman" w:hAnsi="Times New Roman" w:cs="Times New Roman"/>
                <w:b/>
                <w:bCs/>
                <w:sz w:val="20"/>
                <w:szCs w:val="20"/>
                <w:lang w:eastAsia="en-GB"/>
              </w:rPr>
              <w:t>(loss)</w:t>
            </w:r>
          </w:p>
        </w:tc>
        <w:tc>
          <w:tcPr>
            <w:tcW w:w="1701" w:type="dxa"/>
            <w:gridSpan w:val="2"/>
            <w:tcBorders>
              <w:top w:val="single" w:sz="4" w:space="0" w:color="auto"/>
              <w:left w:val="nil"/>
              <w:right w:val="nil"/>
            </w:tcBorders>
            <w:shd w:val="clear" w:color="auto" w:fill="auto"/>
            <w:noWrap/>
            <w:vAlign w:val="center"/>
          </w:tcPr>
          <w:p w:rsidR="00607022" w:rsidRPr="00607022" w:rsidRDefault="00C34A99" w:rsidP="00C34A99">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2,004,571</w:t>
            </w:r>
          </w:p>
        </w:tc>
        <w:tc>
          <w:tcPr>
            <w:tcW w:w="707" w:type="dxa"/>
            <w:tcBorders>
              <w:left w:val="nil"/>
              <w:right w:val="nil"/>
            </w:tcBorders>
            <w:shd w:val="clear" w:color="auto" w:fill="auto"/>
            <w:noWrap/>
            <w:vAlign w:val="center"/>
            <w:hideMark/>
          </w:tcPr>
          <w:p w:rsidR="00607022" w:rsidRPr="00607022" w:rsidRDefault="00607022" w:rsidP="00607022">
            <w:pPr>
              <w:spacing w:after="0" w:line="240" w:lineRule="auto"/>
              <w:rPr>
                <w:rFonts w:ascii="Times New Roman" w:hAnsi="Times New Roman" w:cs="Times New Roman"/>
                <w:sz w:val="20"/>
                <w:szCs w:val="20"/>
                <w:highlight w:val="yellow"/>
                <w:lang w:eastAsia="en-GB"/>
              </w:rPr>
            </w:pPr>
          </w:p>
        </w:tc>
        <w:tc>
          <w:tcPr>
            <w:tcW w:w="1703" w:type="dxa"/>
            <w:gridSpan w:val="3"/>
            <w:tcBorders>
              <w:top w:val="single" w:sz="4" w:space="0" w:color="auto"/>
              <w:left w:val="nil"/>
              <w:right w:val="nil"/>
            </w:tcBorders>
            <w:shd w:val="clear" w:color="auto" w:fill="auto"/>
            <w:noWrap/>
            <w:vAlign w:val="center"/>
          </w:tcPr>
          <w:p w:rsidR="00607022" w:rsidRPr="00607022" w:rsidRDefault="00607022" w:rsidP="00607022">
            <w:pPr>
              <w:spacing w:after="0" w:line="240" w:lineRule="auto"/>
              <w:jc w:val="right"/>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(8,512,153)</w:t>
            </w:r>
          </w:p>
        </w:tc>
      </w:tr>
      <w:tr w:rsidR="00607022" w:rsidRPr="00607022" w:rsidTr="00AB4A7D">
        <w:trPr>
          <w:gridAfter w:val="3"/>
          <w:wAfter w:w="1458" w:type="dxa"/>
          <w:cantSplit/>
          <w:trHeight w:hRule="exact" w:val="397"/>
        </w:trPr>
        <w:tc>
          <w:tcPr>
            <w:tcW w:w="5387" w:type="dxa"/>
            <w:tcBorders>
              <w:top w:val="nil"/>
              <w:left w:val="nil"/>
              <w:bottom w:val="nil"/>
              <w:right w:val="nil"/>
            </w:tcBorders>
            <w:shd w:val="clear" w:color="auto" w:fill="auto"/>
            <w:noWrap/>
            <w:vAlign w:val="center"/>
            <w:hideMark/>
          </w:tcPr>
          <w:p w:rsidR="00607022" w:rsidRPr="00607022" w:rsidRDefault="00607022" w:rsidP="00607022">
            <w:pPr>
              <w:spacing w:after="0" w:line="240" w:lineRule="auto"/>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Expenses</w:t>
            </w:r>
          </w:p>
        </w:tc>
        <w:tc>
          <w:tcPr>
            <w:tcW w:w="1701" w:type="dxa"/>
            <w:gridSpan w:val="2"/>
            <w:tcBorders>
              <w:left w:val="nil"/>
              <w:bottom w:val="single" w:sz="4" w:space="0" w:color="auto"/>
              <w:right w:val="nil"/>
            </w:tcBorders>
            <w:shd w:val="clear" w:color="auto" w:fill="auto"/>
            <w:noWrap/>
            <w:vAlign w:val="center"/>
          </w:tcPr>
          <w:p w:rsidR="00607022" w:rsidRPr="00607022" w:rsidRDefault="00607022" w:rsidP="00C34A99">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(1,</w:t>
            </w:r>
            <w:r w:rsidR="00C34A99">
              <w:rPr>
                <w:rFonts w:ascii="Times New Roman" w:hAnsi="Times New Roman" w:cs="Times New Roman"/>
                <w:b/>
                <w:bCs/>
                <w:sz w:val="20"/>
                <w:szCs w:val="20"/>
                <w:lang w:eastAsia="en-GB"/>
              </w:rPr>
              <w:t>436,220</w:t>
            </w:r>
            <w:r w:rsidRPr="00607022">
              <w:rPr>
                <w:rFonts w:ascii="Times New Roman" w:hAnsi="Times New Roman" w:cs="Times New Roman"/>
                <w:b/>
                <w:bCs/>
                <w:sz w:val="20"/>
                <w:szCs w:val="20"/>
                <w:lang w:eastAsia="en-GB"/>
              </w:rPr>
              <w:t>)</w:t>
            </w:r>
          </w:p>
        </w:tc>
        <w:tc>
          <w:tcPr>
            <w:tcW w:w="707" w:type="dxa"/>
            <w:tcBorders>
              <w:left w:val="nil"/>
              <w:right w:val="nil"/>
            </w:tcBorders>
            <w:shd w:val="clear" w:color="auto" w:fill="auto"/>
            <w:noWrap/>
            <w:vAlign w:val="center"/>
            <w:hideMark/>
          </w:tcPr>
          <w:p w:rsidR="00607022" w:rsidRPr="00607022" w:rsidRDefault="00607022" w:rsidP="00607022">
            <w:pPr>
              <w:spacing w:after="0" w:line="240" w:lineRule="auto"/>
              <w:rPr>
                <w:rFonts w:ascii="Times New Roman" w:hAnsi="Times New Roman" w:cs="Times New Roman"/>
                <w:sz w:val="20"/>
                <w:szCs w:val="20"/>
                <w:highlight w:val="yellow"/>
                <w:lang w:eastAsia="en-GB"/>
              </w:rPr>
            </w:pPr>
          </w:p>
        </w:tc>
        <w:tc>
          <w:tcPr>
            <w:tcW w:w="1703" w:type="dxa"/>
            <w:gridSpan w:val="3"/>
            <w:tcBorders>
              <w:left w:val="nil"/>
              <w:bottom w:val="single" w:sz="4" w:space="0" w:color="auto"/>
              <w:right w:val="nil"/>
            </w:tcBorders>
            <w:shd w:val="clear" w:color="auto" w:fill="auto"/>
            <w:noWrap/>
            <w:vAlign w:val="center"/>
          </w:tcPr>
          <w:p w:rsidR="00607022" w:rsidRPr="00607022" w:rsidRDefault="00607022" w:rsidP="00607022">
            <w:pPr>
              <w:spacing w:after="0" w:line="240" w:lineRule="auto"/>
              <w:jc w:val="right"/>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(1,558,728)</w:t>
            </w:r>
          </w:p>
        </w:tc>
      </w:tr>
      <w:tr w:rsidR="00607022" w:rsidRPr="00607022" w:rsidTr="00AB4A7D">
        <w:trPr>
          <w:gridAfter w:val="3"/>
          <w:wAfter w:w="1458" w:type="dxa"/>
          <w:cantSplit/>
          <w:trHeight w:hRule="exact" w:val="614"/>
        </w:trPr>
        <w:tc>
          <w:tcPr>
            <w:tcW w:w="5387" w:type="dxa"/>
            <w:tcBorders>
              <w:top w:val="nil"/>
              <w:left w:val="nil"/>
              <w:bottom w:val="nil"/>
              <w:right w:val="nil"/>
            </w:tcBorders>
            <w:shd w:val="clear" w:color="auto" w:fill="auto"/>
            <w:noWrap/>
            <w:vAlign w:val="center"/>
            <w:hideMark/>
          </w:tcPr>
          <w:p w:rsidR="00607022" w:rsidRPr="00607022" w:rsidRDefault="003B1479" w:rsidP="003B1479">
            <w:pPr>
              <w:spacing w:after="0" w:line="240" w:lineRule="auto"/>
              <w:rPr>
                <w:rFonts w:ascii="Times New Roman" w:hAnsi="Times New Roman" w:cs="Times New Roman"/>
                <w:b/>
                <w:bCs/>
                <w:sz w:val="20"/>
                <w:szCs w:val="20"/>
                <w:lang w:eastAsia="en-GB"/>
              </w:rPr>
            </w:pPr>
            <w:r>
              <w:rPr>
                <w:rFonts w:ascii="Times New Roman" w:hAnsi="Times New Roman" w:cs="Times New Roman"/>
                <w:b/>
                <w:bCs/>
                <w:sz w:val="20"/>
                <w:szCs w:val="20"/>
                <w:lang w:eastAsia="en-GB"/>
              </w:rPr>
              <w:t>Profit</w:t>
            </w:r>
            <w:r w:rsidR="00607022" w:rsidRPr="00607022">
              <w:rPr>
                <w:rFonts w:ascii="Times New Roman" w:hAnsi="Times New Roman" w:cs="Times New Roman"/>
                <w:b/>
                <w:bCs/>
                <w:sz w:val="20"/>
                <w:szCs w:val="20"/>
                <w:lang w:eastAsia="en-GB"/>
              </w:rPr>
              <w:t xml:space="preserve"> / </w:t>
            </w:r>
            <w:r>
              <w:rPr>
                <w:rFonts w:ascii="Times New Roman" w:hAnsi="Times New Roman" w:cs="Times New Roman"/>
                <w:b/>
                <w:bCs/>
                <w:sz w:val="20"/>
                <w:szCs w:val="20"/>
                <w:lang w:eastAsia="en-GB"/>
              </w:rPr>
              <w:t>(loss)</w:t>
            </w:r>
            <w:r w:rsidR="00607022" w:rsidRPr="00607022">
              <w:rPr>
                <w:rFonts w:ascii="Times New Roman" w:hAnsi="Times New Roman" w:cs="Times New Roman"/>
                <w:b/>
                <w:bCs/>
                <w:sz w:val="20"/>
                <w:szCs w:val="20"/>
                <w:lang w:eastAsia="en-GB"/>
              </w:rPr>
              <w:t xml:space="preserve"> before finance costs and taxation</w:t>
            </w:r>
          </w:p>
        </w:tc>
        <w:tc>
          <w:tcPr>
            <w:tcW w:w="1701" w:type="dxa"/>
            <w:gridSpan w:val="2"/>
            <w:tcBorders>
              <w:top w:val="single" w:sz="4" w:space="0" w:color="auto"/>
              <w:left w:val="nil"/>
              <w:bottom w:val="nil"/>
              <w:right w:val="nil"/>
            </w:tcBorders>
            <w:shd w:val="clear" w:color="auto" w:fill="auto"/>
            <w:noWrap/>
            <w:vAlign w:val="center"/>
          </w:tcPr>
          <w:p w:rsidR="00607022" w:rsidRPr="00607022" w:rsidRDefault="00C34A99" w:rsidP="00607022">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568,351</w:t>
            </w:r>
          </w:p>
        </w:tc>
        <w:tc>
          <w:tcPr>
            <w:tcW w:w="707" w:type="dxa"/>
            <w:tcBorders>
              <w:top w:val="nil"/>
              <w:left w:val="nil"/>
              <w:bottom w:val="nil"/>
              <w:right w:val="nil"/>
            </w:tcBorders>
            <w:shd w:val="clear" w:color="auto" w:fill="auto"/>
            <w:noWrap/>
            <w:vAlign w:val="center"/>
            <w:hideMark/>
          </w:tcPr>
          <w:p w:rsidR="00607022" w:rsidRPr="00607022" w:rsidRDefault="00607022" w:rsidP="00607022">
            <w:pPr>
              <w:spacing w:after="0" w:line="240" w:lineRule="auto"/>
              <w:rPr>
                <w:rFonts w:ascii="Times New Roman" w:hAnsi="Times New Roman" w:cs="Times New Roman"/>
                <w:b/>
                <w:bCs/>
                <w:sz w:val="20"/>
                <w:szCs w:val="20"/>
                <w:highlight w:val="yellow"/>
                <w:lang w:eastAsia="en-GB"/>
              </w:rPr>
            </w:pPr>
          </w:p>
        </w:tc>
        <w:tc>
          <w:tcPr>
            <w:tcW w:w="1703" w:type="dxa"/>
            <w:gridSpan w:val="3"/>
            <w:tcBorders>
              <w:top w:val="single" w:sz="4" w:space="0" w:color="auto"/>
              <w:left w:val="nil"/>
              <w:bottom w:val="nil"/>
              <w:right w:val="nil"/>
            </w:tcBorders>
            <w:shd w:val="clear" w:color="auto" w:fill="auto"/>
            <w:noWrap/>
            <w:vAlign w:val="center"/>
          </w:tcPr>
          <w:p w:rsidR="00607022" w:rsidRPr="00607022" w:rsidRDefault="00607022" w:rsidP="00607022">
            <w:pPr>
              <w:spacing w:after="0" w:line="240" w:lineRule="auto"/>
              <w:jc w:val="right"/>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(10,070,881)</w:t>
            </w:r>
          </w:p>
        </w:tc>
      </w:tr>
      <w:tr w:rsidR="00607022" w:rsidRPr="00607022" w:rsidTr="00AB4A7D">
        <w:trPr>
          <w:gridAfter w:val="3"/>
          <w:wAfter w:w="1458" w:type="dxa"/>
          <w:cantSplit/>
          <w:trHeight w:hRule="exact" w:val="397"/>
        </w:trPr>
        <w:tc>
          <w:tcPr>
            <w:tcW w:w="5387" w:type="dxa"/>
            <w:tcBorders>
              <w:top w:val="nil"/>
              <w:left w:val="nil"/>
              <w:bottom w:val="nil"/>
              <w:right w:val="nil"/>
            </w:tcBorders>
            <w:shd w:val="clear" w:color="auto" w:fill="auto"/>
            <w:noWrap/>
            <w:vAlign w:val="center"/>
            <w:hideMark/>
          </w:tcPr>
          <w:p w:rsidR="00607022" w:rsidRPr="00607022" w:rsidRDefault="00607022" w:rsidP="00607022">
            <w:pPr>
              <w:spacing w:after="0" w:line="240" w:lineRule="auto"/>
              <w:rPr>
                <w:rFonts w:ascii="Times New Roman" w:hAnsi="Times New Roman" w:cs="Times New Roman"/>
                <w:sz w:val="20"/>
                <w:szCs w:val="20"/>
                <w:lang w:eastAsia="en-GB"/>
              </w:rPr>
            </w:pPr>
            <w:r w:rsidRPr="00607022">
              <w:rPr>
                <w:rFonts w:ascii="Times New Roman" w:hAnsi="Times New Roman" w:cs="Times New Roman"/>
                <w:b/>
                <w:bCs/>
                <w:sz w:val="20"/>
                <w:szCs w:val="20"/>
                <w:lang w:eastAsia="en-GB"/>
              </w:rPr>
              <w:t>Finance costs</w:t>
            </w:r>
          </w:p>
        </w:tc>
        <w:tc>
          <w:tcPr>
            <w:tcW w:w="1701" w:type="dxa"/>
            <w:gridSpan w:val="2"/>
            <w:tcBorders>
              <w:top w:val="nil"/>
              <w:left w:val="nil"/>
              <w:bottom w:val="single" w:sz="4" w:space="0" w:color="auto"/>
              <w:right w:val="nil"/>
            </w:tcBorders>
            <w:shd w:val="clear" w:color="auto" w:fill="auto"/>
            <w:noWrap/>
            <w:vAlign w:val="center"/>
          </w:tcPr>
          <w:p w:rsidR="00607022" w:rsidRPr="00607022" w:rsidRDefault="00607022" w:rsidP="00C34A99">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(1,</w:t>
            </w:r>
            <w:r w:rsidR="00C34A99">
              <w:rPr>
                <w:rFonts w:ascii="Times New Roman" w:hAnsi="Times New Roman" w:cs="Times New Roman"/>
                <w:b/>
                <w:bCs/>
                <w:sz w:val="20"/>
                <w:szCs w:val="20"/>
                <w:lang w:eastAsia="en-GB"/>
              </w:rPr>
              <w:t>183,987</w:t>
            </w:r>
            <w:r w:rsidRPr="00607022">
              <w:rPr>
                <w:rFonts w:ascii="Times New Roman" w:hAnsi="Times New Roman" w:cs="Times New Roman"/>
                <w:b/>
                <w:bCs/>
                <w:sz w:val="20"/>
                <w:szCs w:val="20"/>
                <w:lang w:eastAsia="en-GB"/>
              </w:rPr>
              <w:t>)</w:t>
            </w:r>
          </w:p>
        </w:tc>
        <w:tc>
          <w:tcPr>
            <w:tcW w:w="707" w:type="dxa"/>
            <w:tcBorders>
              <w:top w:val="nil"/>
              <w:left w:val="nil"/>
              <w:bottom w:val="nil"/>
              <w:right w:val="nil"/>
            </w:tcBorders>
            <w:shd w:val="clear" w:color="auto" w:fill="auto"/>
            <w:noWrap/>
            <w:vAlign w:val="center"/>
            <w:hideMark/>
          </w:tcPr>
          <w:p w:rsidR="00607022" w:rsidRPr="00607022" w:rsidRDefault="00607022" w:rsidP="00607022">
            <w:pPr>
              <w:spacing w:after="0" w:line="240" w:lineRule="auto"/>
              <w:rPr>
                <w:rFonts w:ascii="Times New Roman" w:hAnsi="Times New Roman" w:cs="Times New Roman"/>
                <w:sz w:val="20"/>
                <w:szCs w:val="20"/>
                <w:highlight w:val="yellow"/>
                <w:lang w:eastAsia="en-GB"/>
              </w:rPr>
            </w:pPr>
          </w:p>
        </w:tc>
        <w:tc>
          <w:tcPr>
            <w:tcW w:w="1703" w:type="dxa"/>
            <w:gridSpan w:val="3"/>
            <w:tcBorders>
              <w:top w:val="nil"/>
              <w:left w:val="nil"/>
              <w:bottom w:val="single" w:sz="4" w:space="0" w:color="auto"/>
              <w:right w:val="nil"/>
            </w:tcBorders>
            <w:shd w:val="clear" w:color="auto" w:fill="auto"/>
            <w:noWrap/>
            <w:vAlign w:val="center"/>
          </w:tcPr>
          <w:p w:rsidR="00607022" w:rsidRPr="00607022" w:rsidRDefault="00607022" w:rsidP="00607022">
            <w:pPr>
              <w:spacing w:after="0" w:line="240" w:lineRule="auto"/>
              <w:jc w:val="right"/>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(1,268,070)</w:t>
            </w:r>
          </w:p>
        </w:tc>
      </w:tr>
      <w:tr w:rsidR="00607022" w:rsidRPr="00607022" w:rsidTr="00AB4A7D">
        <w:trPr>
          <w:gridAfter w:val="3"/>
          <w:wAfter w:w="1458" w:type="dxa"/>
          <w:cantSplit/>
          <w:trHeight w:hRule="exact" w:val="397"/>
        </w:trPr>
        <w:tc>
          <w:tcPr>
            <w:tcW w:w="5387" w:type="dxa"/>
            <w:tcBorders>
              <w:top w:val="nil"/>
              <w:left w:val="nil"/>
              <w:bottom w:val="nil"/>
              <w:right w:val="nil"/>
            </w:tcBorders>
            <w:shd w:val="clear" w:color="auto" w:fill="auto"/>
            <w:noWrap/>
            <w:vAlign w:val="center"/>
            <w:hideMark/>
          </w:tcPr>
          <w:p w:rsidR="00607022" w:rsidRPr="00607022" w:rsidRDefault="00607022" w:rsidP="00582B6E">
            <w:pPr>
              <w:spacing w:after="0" w:line="240" w:lineRule="auto"/>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Loss before taxation</w:t>
            </w:r>
          </w:p>
        </w:tc>
        <w:tc>
          <w:tcPr>
            <w:tcW w:w="1701" w:type="dxa"/>
            <w:gridSpan w:val="2"/>
            <w:tcBorders>
              <w:top w:val="single" w:sz="4" w:space="0" w:color="auto"/>
              <w:left w:val="nil"/>
              <w:bottom w:val="nil"/>
              <w:right w:val="nil"/>
            </w:tcBorders>
            <w:shd w:val="clear" w:color="auto" w:fill="auto"/>
            <w:noWrap/>
            <w:vAlign w:val="center"/>
          </w:tcPr>
          <w:p w:rsidR="00607022" w:rsidRPr="00607022" w:rsidRDefault="00607022" w:rsidP="00C34A99">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w:t>
            </w:r>
            <w:r w:rsidR="00C34A99">
              <w:rPr>
                <w:rFonts w:ascii="Times New Roman" w:hAnsi="Times New Roman" w:cs="Times New Roman"/>
                <w:b/>
                <w:bCs/>
                <w:sz w:val="20"/>
                <w:szCs w:val="20"/>
                <w:lang w:eastAsia="en-GB"/>
              </w:rPr>
              <w:t>615,636</w:t>
            </w:r>
            <w:r w:rsidRPr="00607022">
              <w:rPr>
                <w:rFonts w:ascii="Times New Roman" w:hAnsi="Times New Roman" w:cs="Times New Roman"/>
                <w:b/>
                <w:bCs/>
                <w:sz w:val="20"/>
                <w:szCs w:val="20"/>
                <w:lang w:eastAsia="en-GB"/>
              </w:rPr>
              <w:t>)</w:t>
            </w:r>
          </w:p>
        </w:tc>
        <w:tc>
          <w:tcPr>
            <w:tcW w:w="707" w:type="dxa"/>
            <w:tcBorders>
              <w:top w:val="nil"/>
              <w:left w:val="nil"/>
              <w:bottom w:val="nil"/>
              <w:right w:val="nil"/>
            </w:tcBorders>
            <w:shd w:val="clear" w:color="auto" w:fill="auto"/>
            <w:noWrap/>
            <w:vAlign w:val="center"/>
            <w:hideMark/>
          </w:tcPr>
          <w:p w:rsidR="00607022" w:rsidRPr="00607022" w:rsidRDefault="00607022" w:rsidP="00607022">
            <w:pPr>
              <w:spacing w:after="0" w:line="240" w:lineRule="auto"/>
              <w:rPr>
                <w:rFonts w:ascii="Times New Roman" w:hAnsi="Times New Roman" w:cs="Times New Roman"/>
                <w:sz w:val="20"/>
                <w:szCs w:val="20"/>
                <w:highlight w:val="yellow"/>
                <w:lang w:eastAsia="en-GB"/>
              </w:rPr>
            </w:pPr>
          </w:p>
        </w:tc>
        <w:tc>
          <w:tcPr>
            <w:tcW w:w="1703" w:type="dxa"/>
            <w:gridSpan w:val="3"/>
            <w:tcBorders>
              <w:top w:val="single" w:sz="4" w:space="0" w:color="auto"/>
              <w:left w:val="nil"/>
              <w:bottom w:val="nil"/>
              <w:right w:val="nil"/>
            </w:tcBorders>
            <w:shd w:val="clear" w:color="auto" w:fill="auto"/>
            <w:noWrap/>
            <w:vAlign w:val="center"/>
          </w:tcPr>
          <w:p w:rsidR="00607022" w:rsidRPr="00607022" w:rsidRDefault="00607022" w:rsidP="00607022">
            <w:pPr>
              <w:spacing w:after="0" w:line="240" w:lineRule="auto"/>
              <w:jc w:val="right"/>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(11,338,951)</w:t>
            </w:r>
          </w:p>
        </w:tc>
      </w:tr>
      <w:tr w:rsidR="00607022" w:rsidRPr="00607022" w:rsidTr="00AB4A7D">
        <w:trPr>
          <w:gridAfter w:val="3"/>
          <w:wAfter w:w="1458" w:type="dxa"/>
          <w:cantSplit/>
          <w:trHeight w:hRule="exact" w:val="397"/>
        </w:trPr>
        <w:tc>
          <w:tcPr>
            <w:tcW w:w="5387" w:type="dxa"/>
            <w:tcBorders>
              <w:top w:val="nil"/>
              <w:left w:val="nil"/>
              <w:bottom w:val="nil"/>
              <w:right w:val="nil"/>
            </w:tcBorders>
            <w:shd w:val="clear" w:color="auto" w:fill="auto"/>
            <w:noWrap/>
            <w:vAlign w:val="center"/>
            <w:hideMark/>
          </w:tcPr>
          <w:p w:rsidR="00607022" w:rsidRPr="00607022" w:rsidRDefault="00607022" w:rsidP="00607022">
            <w:pPr>
              <w:spacing w:after="0" w:line="240" w:lineRule="auto"/>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Taxation</w:t>
            </w:r>
          </w:p>
        </w:tc>
        <w:tc>
          <w:tcPr>
            <w:tcW w:w="1701" w:type="dxa"/>
            <w:gridSpan w:val="2"/>
            <w:tcBorders>
              <w:top w:val="nil"/>
              <w:left w:val="nil"/>
              <w:bottom w:val="nil"/>
              <w:right w:val="nil"/>
            </w:tcBorders>
            <w:shd w:val="clear" w:color="auto" w:fill="auto"/>
            <w:noWrap/>
            <w:vAlign w:val="center"/>
          </w:tcPr>
          <w:p w:rsidR="00607022" w:rsidRPr="00607022" w:rsidRDefault="00C34A99" w:rsidP="00607022">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886,813</w:t>
            </w:r>
          </w:p>
        </w:tc>
        <w:tc>
          <w:tcPr>
            <w:tcW w:w="707" w:type="dxa"/>
            <w:tcBorders>
              <w:top w:val="nil"/>
              <w:left w:val="nil"/>
              <w:bottom w:val="nil"/>
              <w:right w:val="nil"/>
            </w:tcBorders>
            <w:shd w:val="clear" w:color="auto" w:fill="auto"/>
            <w:noWrap/>
            <w:vAlign w:val="center"/>
            <w:hideMark/>
          </w:tcPr>
          <w:p w:rsidR="00607022" w:rsidRPr="00607022" w:rsidRDefault="00607022" w:rsidP="00607022">
            <w:pPr>
              <w:spacing w:after="0" w:line="240" w:lineRule="auto"/>
              <w:rPr>
                <w:rFonts w:ascii="Times New Roman" w:hAnsi="Times New Roman" w:cs="Times New Roman"/>
                <w:sz w:val="20"/>
                <w:szCs w:val="20"/>
                <w:highlight w:val="yellow"/>
                <w:lang w:eastAsia="en-GB"/>
              </w:rPr>
            </w:pPr>
          </w:p>
        </w:tc>
        <w:tc>
          <w:tcPr>
            <w:tcW w:w="1703" w:type="dxa"/>
            <w:gridSpan w:val="3"/>
            <w:tcBorders>
              <w:top w:val="nil"/>
              <w:left w:val="nil"/>
              <w:bottom w:val="nil"/>
              <w:right w:val="nil"/>
            </w:tcBorders>
            <w:shd w:val="clear" w:color="auto" w:fill="auto"/>
            <w:noWrap/>
            <w:vAlign w:val="center"/>
          </w:tcPr>
          <w:p w:rsidR="00607022" w:rsidRPr="00607022" w:rsidRDefault="00607022" w:rsidP="00607022">
            <w:pPr>
              <w:spacing w:after="0" w:line="240" w:lineRule="auto"/>
              <w:jc w:val="right"/>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537,826</w:t>
            </w:r>
          </w:p>
        </w:tc>
      </w:tr>
      <w:tr w:rsidR="00607022" w:rsidRPr="00607022" w:rsidTr="00882370">
        <w:trPr>
          <w:gridAfter w:val="3"/>
          <w:wAfter w:w="1458" w:type="dxa"/>
          <w:cantSplit/>
          <w:trHeight w:hRule="exact" w:val="537"/>
        </w:trPr>
        <w:tc>
          <w:tcPr>
            <w:tcW w:w="5387" w:type="dxa"/>
            <w:tcBorders>
              <w:top w:val="nil"/>
              <w:left w:val="nil"/>
              <w:bottom w:val="nil"/>
              <w:right w:val="nil"/>
            </w:tcBorders>
            <w:shd w:val="clear" w:color="auto" w:fill="auto"/>
            <w:noWrap/>
            <w:vAlign w:val="center"/>
            <w:hideMark/>
          </w:tcPr>
          <w:p w:rsidR="00607022" w:rsidRPr="00607022" w:rsidRDefault="00582B6E" w:rsidP="00582B6E">
            <w:pPr>
              <w:spacing w:after="0" w:line="240" w:lineRule="auto"/>
              <w:rPr>
                <w:rFonts w:ascii="Times New Roman" w:hAnsi="Times New Roman" w:cs="Times New Roman"/>
                <w:b/>
                <w:bCs/>
                <w:sz w:val="20"/>
                <w:szCs w:val="20"/>
                <w:lang w:eastAsia="en-GB"/>
              </w:rPr>
            </w:pPr>
            <w:r>
              <w:rPr>
                <w:rFonts w:ascii="Times New Roman" w:hAnsi="Times New Roman" w:cs="Times New Roman"/>
                <w:b/>
                <w:bCs/>
                <w:sz w:val="20"/>
                <w:szCs w:val="20"/>
                <w:lang w:eastAsia="en-GB"/>
              </w:rPr>
              <w:t>Profit</w:t>
            </w:r>
            <w:r w:rsidR="00607022" w:rsidRPr="00607022">
              <w:rPr>
                <w:rFonts w:ascii="Times New Roman" w:hAnsi="Times New Roman" w:cs="Times New Roman"/>
                <w:b/>
                <w:bCs/>
                <w:sz w:val="20"/>
                <w:szCs w:val="20"/>
                <w:lang w:eastAsia="en-GB"/>
              </w:rPr>
              <w:t xml:space="preserve"> / </w:t>
            </w:r>
            <w:r>
              <w:rPr>
                <w:rFonts w:ascii="Times New Roman" w:hAnsi="Times New Roman" w:cs="Times New Roman"/>
                <w:b/>
                <w:bCs/>
                <w:sz w:val="20"/>
                <w:szCs w:val="20"/>
                <w:lang w:eastAsia="en-GB"/>
              </w:rPr>
              <w:t>(loss)</w:t>
            </w:r>
            <w:r w:rsidR="00607022" w:rsidRPr="00607022">
              <w:rPr>
                <w:rFonts w:ascii="Times New Roman" w:hAnsi="Times New Roman" w:cs="Times New Roman"/>
                <w:b/>
                <w:bCs/>
                <w:sz w:val="20"/>
                <w:szCs w:val="20"/>
                <w:lang w:eastAsia="en-GB"/>
              </w:rPr>
              <w:t xml:space="preserve"> for the financial year and total comprehensive income</w:t>
            </w:r>
          </w:p>
        </w:tc>
        <w:tc>
          <w:tcPr>
            <w:tcW w:w="1701" w:type="dxa"/>
            <w:gridSpan w:val="2"/>
            <w:tcBorders>
              <w:top w:val="single" w:sz="4" w:space="0" w:color="auto"/>
              <w:left w:val="nil"/>
              <w:bottom w:val="single" w:sz="8" w:space="0" w:color="auto"/>
              <w:right w:val="nil"/>
            </w:tcBorders>
            <w:shd w:val="clear" w:color="auto" w:fill="auto"/>
            <w:noWrap/>
            <w:vAlign w:val="center"/>
          </w:tcPr>
          <w:p w:rsidR="00607022" w:rsidRPr="00607022" w:rsidRDefault="00C34A99" w:rsidP="00607022">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271,177</w:t>
            </w:r>
          </w:p>
        </w:tc>
        <w:tc>
          <w:tcPr>
            <w:tcW w:w="707" w:type="dxa"/>
            <w:tcBorders>
              <w:top w:val="nil"/>
              <w:left w:val="nil"/>
              <w:right w:val="nil"/>
            </w:tcBorders>
            <w:shd w:val="clear" w:color="auto" w:fill="auto"/>
            <w:noWrap/>
            <w:vAlign w:val="center"/>
            <w:hideMark/>
          </w:tcPr>
          <w:p w:rsidR="00607022" w:rsidRPr="00607022" w:rsidRDefault="00607022" w:rsidP="00607022">
            <w:pPr>
              <w:spacing w:after="0" w:line="240" w:lineRule="auto"/>
              <w:rPr>
                <w:rFonts w:ascii="Times New Roman" w:hAnsi="Times New Roman" w:cs="Times New Roman"/>
                <w:b/>
                <w:bCs/>
                <w:sz w:val="20"/>
                <w:szCs w:val="20"/>
                <w:highlight w:val="yellow"/>
                <w:lang w:eastAsia="en-GB"/>
              </w:rPr>
            </w:pPr>
          </w:p>
        </w:tc>
        <w:tc>
          <w:tcPr>
            <w:tcW w:w="1703" w:type="dxa"/>
            <w:gridSpan w:val="3"/>
            <w:tcBorders>
              <w:top w:val="single" w:sz="4" w:space="0" w:color="auto"/>
              <w:left w:val="nil"/>
              <w:bottom w:val="single" w:sz="8" w:space="0" w:color="auto"/>
              <w:right w:val="nil"/>
            </w:tcBorders>
            <w:shd w:val="clear" w:color="auto" w:fill="auto"/>
            <w:noWrap/>
            <w:vAlign w:val="center"/>
          </w:tcPr>
          <w:p w:rsidR="00607022" w:rsidRPr="00607022" w:rsidRDefault="00607022" w:rsidP="00607022">
            <w:pPr>
              <w:spacing w:after="0" w:line="240" w:lineRule="auto"/>
              <w:jc w:val="right"/>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(10,801,125)</w:t>
            </w:r>
          </w:p>
        </w:tc>
      </w:tr>
      <w:tr w:rsidR="00607022" w:rsidRPr="00607022" w:rsidTr="0074154D">
        <w:trPr>
          <w:gridAfter w:val="3"/>
          <w:wAfter w:w="1458" w:type="dxa"/>
          <w:cantSplit/>
          <w:trHeight w:val="643"/>
        </w:trPr>
        <w:tc>
          <w:tcPr>
            <w:tcW w:w="0" w:type="auto"/>
            <w:tcBorders>
              <w:top w:val="nil"/>
              <w:left w:val="nil"/>
              <w:bottom w:val="nil"/>
              <w:right w:val="nil"/>
            </w:tcBorders>
            <w:shd w:val="clear" w:color="auto" w:fill="auto"/>
            <w:noWrap/>
            <w:vAlign w:val="bottom"/>
            <w:hideMark/>
          </w:tcPr>
          <w:p w:rsidR="00607022" w:rsidRPr="00607022" w:rsidRDefault="00607022" w:rsidP="00607022">
            <w:pPr>
              <w:spacing w:after="0" w:line="240" w:lineRule="auto"/>
              <w:rPr>
                <w:rFonts w:ascii="Times New Roman" w:hAnsi="Times New Roman" w:cs="Times New Roman"/>
                <w:b/>
                <w:bCs/>
                <w:sz w:val="20"/>
                <w:szCs w:val="20"/>
                <w:lang w:eastAsia="en-GB"/>
              </w:rPr>
            </w:pPr>
          </w:p>
          <w:p w:rsidR="00607022" w:rsidRPr="00607022" w:rsidRDefault="00582B6E" w:rsidP="00607022">
            <w:pPr>
              <w:spacing w:after="0" w:line="240" w:lineRule="auto"/>
              <w:rPr>
                <w:rFonts w:ascii="Times New Roman" w:hAnsi="Times New Roman" w:cs="Times New Roman"/>
                <w:b/>
                <w:bCs/>
                <w:sz w:val="20"/>
                <w:szCs w:val="20"/>
                <w:lang w:eastAsia="en-GB"/>
              </w:rPr>
            </w:pPr>
            <w:r>
              <w:rPr>
                <w:rFonts w:ascii="Times New Roman" w:hAnsi="Times New Roman" w:cs="Times New Roman"/>
                <w:b/>
                <w:bCs/>
                <w:sz w:val="20"/>
                <w:szCs w:val="20"/>
                <w:lang w:eastAsia="en-GB"/>
              </w:rPr>
              <w:t>Earnings / (losses) per share (basic)</w:t>
            </w:r>
          </w:p>
        </w:tc>
        <w:tc>
          <w:tcPr>
            <w:tcW w:w="0" w:type="auto"/>
            <w:gridSpan w:val="2"/>
            <w:tcBorders>
              <w:top w:val="nil"/>
              <w:left w:val="nil"/>
              <w:bottom w:val="single" w:sz="8" w:space="0" w:color="auto"/>
              <w:right w:val="nil"/>
            </w:tcBorders>
            <w:shd w:val="clear" w:color="auto" w:fill="auto"/>
            <w:noWrap/>
            <w:vAlign w:val="bottom"/>
          </w:tcPr>
          <w:p w:rsidR="00607022" w:rsidRPr="00607022" w:rsidRDefault="00C34A99" w:rsidP="00607022">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0</w:t>
            </w:r>
            <w:r w:rsidR="00607022" w:rsidRPr="00607022">
              <w:rPr>
                <w:rFonts w:ascii="Times New Roman" w:hAnsi="Times New Roman" w:cs="Times New Roman"/>
                <w:b/>
                <w:bCs/>
                <w:sz w:val="20"/>
                <w:szCs w:val="20"/>
                <w:lang w:eastAsia="en-GB"/>
              </w:rPr>
              <w:t>.</w:t>
            </w:r>
            <w:r>
              <w:rPr>
                <w:rFonts w:ascii="Times New Roman" w:hAnsi="Times New Roman" w:cs="Times New Roman"/>
                <w:b/>
                <w:bCs/>
                <w:sz w:val="20"/>
                <w:szCs w:val="20"/>
                <w:lang w:eastAsia="en-GB"/>
              </w:rPr>
              <w:t>4</w:t>
            </w:r>
            <w:r w:rsidR="00582B6E">
              <w:rPr>
                <w:rFonts w:ascii="Times New Roman" w:hAnsi="Times New Roman" w:cs="Times New Roman"/>
                <w:b/>
                <w:bCs/>
                <w:sz w:val="20"/>
                <w:szCs w:val="20"/>
                <w:lang w:eastAsia="en-GB"/>
              </w:rPr>
              <w:t>p</w:t>
            </w:r>
          </w:p>
        </w:tc>
        <w:tc>
          <w:tcPr>
            <w:tcW w:w="0" w:type="auto"/>
            <w:tcBorders>
              <w:top w:val="nil"/>
              <w:left w:val="nil"/>
              <w:bottom w:val="nil"/>
              <w:right w:val="nil"/>
            </w:tcBorders>
            <w:shd w:val="clear" w:color="auto" w:fill="auto"/>
            <w:noWrap/>
            <w:vAlign w:val="bottom"/>
            <w:hideMark/>
          </w:tcPr>
          <w:p w:rsidR="00607022" w:rsidRPr="00607022" w:rsidRDefault="00607022" w:rsidP="00607022">
            <w:pPr>
              <w:spacing w:after="0" w:line="240" w:lineRule="auto"/>
              <w:jc w:val="right"/>
              <w:rPr>
                <w:rFonts w:ascii="Times New Roman" w:hAnsi="Times New Roman" w:cs="Times New Roman"/>
                <w:sz w:val="20"/>
                <w:szCs w:val="20"/>
                <w:highlight w:val="yellow"/>
                <w:lang w:eastAsia="en-GB"/>
              </w:rPr>
            </w:pPr>
          </w:p>
        </w:tc>
        <w:tc>
          <w:tcPr>
            <w:tcW w:w="0" w:type="auto"/>
            <w:gridSpan w:val="3"/>
            <w:tcBorders>
              <w:top w:val="nil"/>
              <w:left w:val="nil"/>
              <w:bottom w:val="single" w:sz="8" w:space="0" w:color="auto"/>
              <w:right w:val="nil"/>
            </w:tcBorders>
            <w:shd w:val="clear" w:color="auto" w:fill="auto"/>
            <w:noWrap/>
            <w:vAlign w:val="bottom"/>
          </w:tcPr>
          <w:p w:rsidR="00607022" w:rsidRPr="00607022" w:rsidRDefault="00607022" w:rsidP="00607022">
            <w:pPr>
              <w:spacing w:after="0" w:line="240" w:lineRule="auto"/>
              <w:jc w:val="right"/>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(16.8p)</w:t>
            </w:r>
          </w:p>
        </w:tc>
      </w:tr>
      <w:tr w:rsidR="00607022" w:rsidRPr="00607022" w:rsidTr="00DE286B">
        <w:trPr>
          <w:trHeight w:val="420"/>
        </w:trPr>
        <w:tc>
          <w:tcPr>
            <w:tcW w:w="5759" w:type="dxa"/>
            <w:gridSpan w:val="2"/>
            <w:tcBorders>
              <w:top w:val="nil"/>
              <w:left w:val="nil"/>
              <w:bottom w:val="nil"/>
              <w:right w:val="nil"/>
            </w:tcBorders>
            <w:shd w:val="clear" w:color="auto" w:fill="auto"/>
            <w:noWrap/>
            <w:vAlign w:val="bottom"/>
            <w:hideMark/>
          </w:tcPr>
          <w:p w:rsidR="00607022" w:rsidRPr="00607022" w:rsidRDefault="00607022" w:rsidP="00607022">
            <w:pPr>
              <w:spacing w:after="0" w:line="240" w:lineRule="auto"/>
              <w:rPr>
                <w:rFonts w:ascii="Times New Roman" w:hAnsi="Times New Roman" w:cs="Times New Roman"/>
                <w:bCs/>
                <w:sz w:val="20"/>
                <w:szCs w:val="20"/>
                <w:highlight w:val="yellow"/>
              </w:rPr>
            </w:pPr>
          </w:p>
        </w:tc>
        <w:tc>
          <w:tcPr>
            <w:tcW w:w="2212" w:type="dxa"/>
            <w:gridSpan w:val="3"/>
            <w:tcBorders>
              <w:left w:val="nil"/>
              <w:bottom w:val="nil"/>
              <w:right w:val="nil"/>
            </w:tcBorders>
            <w:shd w:val="clear" w:color="auto" w:fill="auto"/>
            <w:noWrap/>
            <w:vAlign w:val="bottom"/>
            <w:hideMark/>
          </w:tcPr>
          <w:p w:rsidR="00607022" w:rsidRPr="00607022" w:rsidRDefault="00607022" w:rsidP="00607022">
            <w:pPr>
              <w:spacing w:after="0" w:line="240" w:lineRule="auto"/>
              <w:jc w:val="right"/>
              <w:rPr>
                <w:rFonts w:ascii="Times New Roman" w:hAnsi="Times New Roman" w:cs="Times New Roman"/>
                <w:bCs/>
                <w:sz w:val="20"/>
                <w:szCs w:val="20"/>
                <w:highlight w:val="yellow"/>
              </w:rPr>
            </w:pPr>
          </w:p>
        </w:tc>
        <w:tc>
          <w:tcPr>
            <w:tcW w:w="247" w:type="dxa"/>
            <w:tcBorders>
              <w:top w:val="nil"/>
              <w:left w:val="nil"/>
              <w:bottom w:val="nil"/>
              <w:right w:val="nil"/>
            </w:tcBorders>
            <w:shd w:val="clear" w:color="auto" w:fill="auto"/>
            <w:noWrap/>
            <w:vAlign w:val="bottom"/>
            <w:hideMark/>
          </w:tcPr>
          <w:p w:rsidR="00607022" w:rsidRPr="00607022" w:rsidRDefault="00607022" w:rsidP="00607022">
            <w:pPr>
              <w:spacing w:after="0" w:line="240" w:lineRule="auto"/>
              <w:rPr>
                <w:rFonts w:ascii="Times New Roman" w:hAnsi="Times New Roman" w:cs="Times New Roman"/>
                <w:bCs/>
                <w:sz w:val="20"/>
                <w:szCs w:val="20"/>
                <w:highlight w:val="yellow"/>
              </w:rPr>
            </w:pPr>
          </w:p>
        </w:tc>
        <w:tc>
          <w:tcPr>
            <w:tcW w:w="1640" w:type="dxa"/>
            <w:gridSpan w:val="2"/>
            <w:tcBorders>
              <w:top w:val="nil"/>
              <w:left w:val="nil"/>
              <w:bottom w:val="nil"/>
              <w:right w:val="nil"/>
            </w:tcBorders>
            <w:shd w:val="clear" w:color="auto" w:fill="auto"/>
            <w:noWrap/>
            <w:vAlign w:val="bottom"/>
            <w:hideMark/>
          </w:tcPr>
          <w:p w:rsidR="00607022" w:rsidRPr="00607022" w:rsidRDefault="00607022" w:rsidP="00607022">
            <w:pPr>
              <w:spacing w:after="0" w:line="240" w:lineRule="auto"/>
              <w:rPr>
                <w:rFonts w:ascii="Times New Roman" w:hAnsi="Times New Roman" w:cs="Times New Roman"/>
                <w:bCs/>
                <w:sz w:val="20"/>
                <w:szCs w:val="20"/>
                <w:highlight w:val="yellow"/>
              </w:rPr>
            </w:pPr>
          </w:p>
        </w:tc>
        <w:tc>
          <w:tcPr>
            <w:tcW w:w="236" w:type="dxa"/>
            <w:tcBorders>
              <w:top w:val="nil"/>
              <w:left w:val="nil"/>
              <w:bottom w:val="nil"/>
              <w:right w:val="nil"/>
            </w:tcBorders>
            <w:shd w:val="clear" w:color="auto" w:fill="auto"/>
            <w:noWrap/>
            <w:vAlign w:val="bottom"/>
            <w:hideMark/>
          </w:tcPr>
          <w:p w:rsidR="00607022" w:rsidRPr="00607022" w:rsidRDefault="00607022" w:rsidP="00607022">
            <w:pPr>
              <w:spacing w:after="0" w:line="240" w:lineRule="auto"/>
              <w:rPr>
                <w:rFonts w:ascii="Times New Roman" w:hAnsi="Times New Roman" w:cs="Times New Roman"/>
                <w:bCs/>
                <w:sz w:val="20"/>
                <w:szCs w:val="20"/>
                <w:highlight w:val="yellow"/>
              </w:rPr>
            </w:pPr>
          </w:p>
        </w:tc>
        <w:tc>
          <w:tcPr>
            <w:tcW w:w="862" w:type="dxa"/>
            <w:tcBorders>
              <w:top w:val="nil"/>
              <w:left w:val="nil"/>
              <w:bottom w:val="nil"/>
              <w:right w:val="nil"/>
            </w:tcBorders>
            <w:shd w:val="clear" w:color="auto" w:fill="auto"/>
            <w:noWrap/>
            <w:vAlign w:val="bottom"/>
            <w:hideMark/>
          </w:tcPr>
          <w:p w:rsidR="00607022" w:rsidRPr="00607022" w:rsidRDefault="00607022" w:rsidP="00607022">
            <w:pPr>
              <w:spacing w:after="0" w:line="240" w:lineRule="auto"/>
              <w:rPr>
                <w:rFonts w:ascii="Times New Roman" w:hAnsi="Times New Roman" w:cs="Times New Roman"/>
                <w:bCs/>
                <w:sz w:val="20"/>
                <w:szCs w:val="20"/>
                <w:highlight w:val="yellow"/>
              </w:rPr>
            </w:pPr>
          </w:p>
        </w:tc>
      </w:tr>
    </w:tbl>
    <w:p w:rsidR="00433406" w:rsidRPr="00607022" w:rsidRDefault="00433406" w:rsidP="00882370">
      <w:pPr>
        <w:spacing w:after="0" w:line="240" w:lineRule="auto"/>
        <w:rPr>
          <w:rFonts w:ascii="Times New Roman" w:hAnsi="Times New Roman" w:cs="Times New Roman"/>
          <w:b/>
          <w:bCs/>
          <w:sz w:val="20"/>
          <w:szCs w:val="20"/>
        </w:rPr>
      </w:pPr>
      <w:r w:rsidRPr="00607022">
        <w:rPr>
          <w:rFonts w:ascii="Times New Roman" w:hAnsi="Times New Roman" w:cs="Times New Roman"/>
          <w:b/>
          <w:bCs/>
          <w:sz w:val="20"/>
          <w:szCs w:val="20"/>
        </w:rPr>
        <w:t>CONSOLIDATED STATEMENT OF CHANGES IN EQUITY</w:t>
      </w:r>
    </w:p>
    <w:p w:rsidR="00433406" w:rsidRPr="00607022" w:rsidRDefault="00433406" w:rsidP="00882370">
      <w:pPr>
        <w:spacing w:after="0" w:line="240" w:lineRule="auto"/>
        <w:rPr>
          <w:rFonts w:ascii="Times New Roman" w:hAnsi="Times New Roman" w:cs="Times New Roman"/>
          <w:spacing w:val="2"/>
          <w:sz w:val="20"/>
          <w:szCs w:val="20"/>
        </w:rPr>
      </w:pPr>
      <w:proofErr w:type="gramStart"/>
      <w:r w:rsidRPr="00607022">
        <w:rPr>
          <w:rFonts w:ascii="Times New Roman" w:hAnsi="Times New Roman" w:cs="Times New Roman"/>
          <w:spacing w:val="2"/>
          <w:sz w:val="20"/>
          <w:szCs w:val="20"/>
        </w:rPr>
        <w:t>for</w:t>
      </w:r>
      <w:proofErr w:type="gramEnd"/>
      <w:r w:rsidRPr="00607022">
        <w:rPr>
          <w:rFonts w:ascii="Times New Roman" w:hAnsi="Times New Roman" w:cs="Times New Roman"/>
          <w:spacing w:val="2"/>
          <w:sz w:val="20"/>
          <w:szCs w:val="20"/>
        </w:rPr>
        <w:t xml:space="preserve"> the year ended </w:t>
      </w:r>
      <w:r w:rsidR="00DC7B28" w:rsidRPr="00607022">
        <w:rPr>
          <w:rFonts w:ascii="Times New Roman" w:hAnsi="Times New Roman" w:cs="Times New Roman"/>
          <w:spacing w:val="2"/>
          <w:sz w:val="20"/>
          <w:szCs w:val="20"/>
        </w:rPr>
        <w:t>30 June</w:t>
      </w:r>
    </w:p>
    <w:tbl>
      <w:tblPr>
        <w:tblW w:w="9498" w:type="dxa"/>
        <w:tblInd w:w="108" w:type="dxa"/>
        <w:tblLook w:val="04A0" w:firstRow="1" w:lastRow="0" w:firstColumn="1" w:lastColumn="0" w:noHBand="0" w:noVBand="1"/>
      </w:tblPr>
      <w:tblGrid>
        <w:gridCol w:w="5446"/>
        <w:gridCol w:w="1642"/>
        <w:gridCol w:w="283"/>
        <w:gridCol w:w="2127"/>
      </w:tblGrid>
      <w:tr w:rsidR="00A06A8C" w:rsidRPr="00607022" w:rsidTr="00A06A8C">
        <w:trPr>
          <w:trHeight w:val="300"/>
        </w:trPr>
        <w:tc>
          <w:tcPr>
            <w:tcW w:w="5446" w:type="dxa"/>
            <w:tcBorders>
              <w:top w:val="nil"/>
              <w:left w:val="nil"/>
              <w:bottom w:val="nil"/>
              <w:right w:val="nil"/>
            </w:tcBorders>
            <w:shd w:val="clear" w:color="auto" w:fill="auto"/>
            <w:noWrap/>
            <w:vAlign w:val="bottom"/>
            <w:hideMark/>
          </w:tcPr>
          <w:p w:rsidR="00A06A8C" w:rsidRPr="00607022" w:rsidRDefault="00A06A8C" w:rsidP="00882370">
            <w:pPr>
              <w:spacing w:after="0" w:line="240" w:lineRule="auto"/>
              <w:rPr>
                <w:rFonts w:ascii="Times New Roman" w:hAnsi="Times New Roman" w:cs="Times New Roman"/>
                <w:sz w:val="20"/>
                <w:szCs w:val="20"/>
                <w:lang w:eastAsia="en-GB"/>
              </w:rPr>
            </w:pPr>
          </w:p>
        </w:tc>
        <w:tc>
          <w:tcPr>
            <w:tcW w:w="1642" w:type="dxa"/>
            <w:tcBorders>
              <w:top w:val="nil"/>
              <w:left w:val="nil"/>
              <w:bottom w:val="nil"/>
              <w:right w:val="nil"/>
            </w:tcBorders>
            <w:shd w:val="clear" w:color="auto" w:fill="auto"/>
            <w:noWrap/>
            <w:vAlign w:val="bottom"/>
            <w:hideMark/>
          </w:tcPr>
          <w:p w:rsidR="00A06A8C" w:rsidRPr="00607022" w:rsidRDefault="00052504" w:rsidP="00882370">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30 June 201</w:t>
            </w:r>
            <w:r w:rsidR="00C34A99">
              <w:rPr>
                <w:rFonts w:ascii="Times New Roman" w:hAnsi="Times New Roman" w:cs="Times New Roman"/>
                <w:b/>
                <w:bCs/>
                <w:sz w:val="20"/>
                <w:szCs w:val="20"/>
                <w:lang w:eastAsia="en-GB"/>
              </w:rPr>
              <w:t>6</w:t>
            </w:r>
          </w:p>
        </w:tc>
        <w:tc>
          <w:tcPr>
            <w:tcW w:w="283" w:type="dxa"/>
            <w:tcBorders>
              <w:top w:val="nil"/>
              <w:left w:val="nil"/>
              <w:bottom w:val="nil"/>
              <w:right w:val="nil"/>
            </w:tcBorders>
            <w:shd w:val="clear" w:color="auto" w:fill="auto"/>
            <w:noWrap/>
            <w:vAlign w:val="bottom"/>
            <w:hideMark/>
          </w:tcPr>
          <w:p w:rsidR="00A06A8C" w:rsidRPr="00607022" w:rsidRDefault="00A06A8C" w:rsidP="00882370">
            <w:pPr>
              <w:spacing w:after="0" w:line="240" w:lineRule="auto"/>
              <w:jc w:val="right"/>
              <w:rPr>
                <w:rFonts w:ascii="Times New Roman" w:hAnsi="Times New Roman" w:cs="Times New Roman"/>
                <w:sz w:val="20"/>
                <w:szCs w:val="20"/>
                <w:lang w:eastAsia="en-GB"/>
              </w:rPr>
            </w:pPr>
          </w:p>
        </w:tc>
        <w:tc>
          <w:tcPr>
            <w:tcW w:w="2127" w:type="dxa"/>
            <w:tcBorders>
              <w:top w:val="nil"/>
              <w:left w:val="nil"/>
              <w:bottom w:val="nil"/>
              <w:right w:val="nil"/>
            </w:tcBorders>
            <w:vAlign w:val="bottom"/>
          </w:tcPr>
          <w:p w:rsidR="00A06A8C" w:rsidRPr="00607022" w:rsidRDefault="00052504" w:rsidP="00882370">
            <w:pPr>
              <w:spacing w:after="0" w:line="240" w:lineRule="auto"/>
              <w:jc w:val="right"/>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30 June 201</w:t>
            </w:r>
            <w:r w:rsidR="00607022" w:rsidRPr="00607022">
              <w:rPr>
                <w:rFonts w:ascii="Times New Roman" w:hAnsi="Times New Roman" w:cs="Times New Roman"/>
                <w:bCs/>
                <w:sz w:val="20"/>
                <w:szCs w:val="20"/>
                <w:lang w:eastAsia="en-GB"/>
              </w:rPr>
              <w:t>5</w:t>
            </w:r>
          </w:p>
        </w:tc>
      </w:tr>
      <w:tr w:rsidR="00A06A8C" w:rsidRPr="00607022" w:rsidTr="00A06A8C">
        <w:trPr>
          <w:trHeight w:val="300"/>
        </w:trPr>
        <w:tc>
          <w:tcPr>
            <w:tcW w:w="5446" w:type="dxa"/>
            <w:tcBorders>
              <w:top w:val="nil"/>
              <w:left w:val="nil"/>
              <w:bottom w:val="nil"/>
              <w:right w:val="nil"/>
            </w:tcBorders>
            <w:shd w:val="clear" w:color="auto" w:fill="auto"/>
            <w:noWrap/>
            <w:vAlign w:val="bottom"/>
            <w:hideMark/>
          </w:tcPr>
          <w:p w:rsidR="00A06A8C" w:rsidRPr="00607022" w:rsidRDefault="00A06A8C" w:rsidP="00882370">
            <w:pPr>
              <w:spacing w:after="0" w:line="240" w:lineRule="auto"/>
              <w:rPr>
                <w:rFonts w:ascii="Times New Roman" w:hAnsi="Times New Roman" w:cs="Times New Roman"/>
                <w:sz w:val="20"/>
                <w:szCs w:val="20"/>
                <w:lang w:eastAsia="en-GB"/>
              </w:rPr>
            </w:pPr>
          </w:p>
        </w:tc>
        <w:tc>
          <w:tcPr>
            <w:tcW w:w="1642" w:type="dxa"/>
            <w:tcBorders>
              <w:top w:val="nil"/>
              <w:left w:val="nil"/>
              <w:bottom w:val="nil"/>
              <w:right w:val="nil"/>
            </w:tcBorders>
            <w:shd w:val="clear" w:color="auto" w:fill="auto"/>
            <w:noWrap/>
            <w:vAlign w:val="bottom"/>
            <w:hideMark/>
          </w:tcPr>
          <w:p w:rsidR="00A06A8C" w:rsidRPr="00607022" w:rsidRDefault="00A06A8C" w:rsidP="00882370">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 xml:space="preserve">£   </w:t>
            </w:r>
          </w:p>
        </w:tc>
        <w:tc>
          <w:tcPr>
            <w:tcW w:w="283" w:type="dxa"/>
            <w:tcBorders>
              <w:top w:val="nil"/>
              <w:left w:val="nil"/>
              <w:bottom w:val="nil"/>
              <w:right w:val="nil"/>
            </w:tcBorders>
            <w:shd w:val="clear" w:color="auto" w:fill="auto"/>
            <w:noWrap/>
            <w:vAlign w:val="bottom"/>
            <w:hideMark/>
          </w:tcPr>
          <w:p w:rsidR="00A06A8C" w:rsidRPr="00607022" w:rsidRDefault="00A06A8C" w:rsidP="00882370">
            <w:pPr>
              <w:spacing w:after="0" w:line="240" w:lineRule="auto"/>
              <w:rPr>
                <w:rFonts w:ascii="Times New Roman" w:hAnsi="Times New Roman" w:cs="Times New Roman"/>
                <w:sz w:val="20"/>
                <w:szCs w:val="20"/>
                <w:lang w:eastAsia="en-GB"/>
              </w:rPr>
            </w:pPr>
          </w:p>
        </w:tc>
        <w:tc>
          <w:tcPr>
            <w:tcW w:w="2127" w:type="dxa"/>
            <w:tcBorders>
              <w:top w:val="nil"/>
              <w:left w:val="nil"/>
              <w:bottom w:val="nil"/>
              <w:right w:val="nil"/>
            </w:tcBorders>
            <w:vAlign w:val="bottom"/>
          </w:tcPr>
          <w:p w:rsidR="00A06A8C" w:rsidRPr="00607022" w:rsidRDefault="00A06A8C" w:rsidP="00882370">
            <w:pPr>
              <w:spacing w:after="0" w:line="240" w:lineRule="auto"/>
              <w:jc w:val="right"/>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 xml:space="preserve">£   </w:t>
            </w:r>
          </w:p>
        </w:tc>
      </w:tr>
      <w:tr w:rsidR="00A06A8C" w:rsidRPr="00607022" w:rsidTr="00AB4A7D">
        <w:trPr>
          <w:trHeight w:val="300"/>
        </w:trPr>
        <w:tc>
          <w:tcPr>
            <w:tcW w:w="5446" w:type="dxa"/>
            <w:tcBorders>
              <w:top w:val="nil"/>
              <w:left w:val="nil"/>
              <w:bottom w:val="nil"/>
              <w:right w:val="nil"/>
            </w:tcBorders>
            <w:shd w:val="clear" w:color="auto" w:fill="auto"/>
            <w:noWrap/>
            <w:vAlign w:val="bottom"/>
            <w:hideMark/>
          </w:tcPr>
          <w:p w:rsidR="00A06A8C" w:rsidRPr="00607022" w:rsidRDefault="00A06A8C" w:rsidP="00882370">
            <w:pPr>
              <w:spacing w:after="0" w:line="240" w:lineRule="auto"/>
              <w:ind w:left="-108"/>
              <w:rPr>
                <w:rFonts w:ascii="Times New Roman" w:hAnsi="Times New Roman" w:cs="Times New Roman"/>
                <w:b/>
                <w:bCs/>
                <w:sz w:val="20"/>
                <w:szCs w:val="20"/>
              </w:rPr>
            </w:pPr>
            <w:r w:rsidRPr="00607022">
              <w:rPr>
                <w:rFonts w:ascii="Times New Roman" w:hAnsi="Times New Roman" w:cs="Times New Roman"/>
                <w:b/>
                <w:bCs/>
                <w:sz w:val="20"/>
                <w:szCs w:val="20"/>
              </w:rPr>
              <w:t>Opening capital and reserves attributable to equity holders</w:t>
            </w:r>
          </w:p>
        </w:tc>
        <w:tc>
          <w:tcPr>
            <w:tcW w:w="1642" w:type="dxa"/>
            <w:tcBorders>
              <w:top w:val="nil"/>
              <w:left w:val="nil"/>
              <w:bottom w:val="nil"/>
              <w:right w:val="nil"/>
            </w:tcBorders>
            <w:shd w:val="clear" w:color="auto" w:fill="auto"/>
            <w:noWrap/>
            <w:vAlign w:val="center"/>
          </w:tcPr>
          <w:p w:rsidR="00A06A8C" w:rsidRPr="00607022" w:rsidRDefault="00C34A99" w:rsidP="00882370">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51,827,562</w:t>
            </w:r>
          </w:p>
        </w:tc>
        <w:tc>
          <w:tcPr>
            <w:tcW w:w="283" w:type="dxa"/>
            <w:tcBorders>
              <w:top w:val="nil"/>
              <w:left w:val="nil"/>
              <w:bottom w:val="nil"/>
              <w:right w:val="nil"/>
            </w:tcBorders>
            <w:shd w:val="clear" w:color="auto" w:fill="auto"/>
            <w:noWrap/>
            <w:vAlign w:val="center"/>
            <w:hideMark/>
          </w:tcPr>
          <w:p w:rsidR="00A06A8C" w:rsidRPr="00607022" w:rsidRDefault="00A06A8C" w:rsidP="00882370">
            <w:pPr>
              <w:spacing w:after="0" w:line="240" w:lineRule="auto"/>
              <w:rPr>
                <w:rFonts w:ascii="Times New Roman" w:hAnsi="Times New Roman" w:cs="Times New Roman"/>
                <w:sz w:val="20"/>
                <w:szCs w:val="20"/>
                <w:highlight w:val="yellow"/>
                <w:lang w:eastAsia="en-GB"/>
              </w:rPr>
            </w:pPr>
          </w:p>
        </w:tc>
        <w:tc>
          <w:tcPr>
            <w:tcW w:w="2127" w:type="dxa"/>
            <w:tcBorders>
              <w:top w:val="nil"/>
              <w:left w:val="nil"/>
              <w:bottom w:val="nil"/>
              <w:right w:val="nil"/>
            </w:tcBorders>
            <w:vAlign w:val="center"/>
          </w:tcPr>
          <w:p w:rsidR="00A06A8C" w:rsidRPr="00607022" w:rsidRDefault="00607022" w:rsidP="00882370">
            <w:pPr>
              <w:spacing w:after="0" w:line="240" w:lineRule="auto"/>
              <w:jc w:val="right"/>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65,017,817</w:t>
            </w:r>
          </w:p>
        </w:tc>
      </w:tr>
      <w:tr w:rsidR="00A06A8C" w:rsidRPr="00607022" w:rsidTr="00AB4A7D">
        <w:trPr>
          <w:trHeight w:val="300"/>
        </w:trPr>
        <w:tc>
          <w:tcPr>
            <w:tcW w:w="5446" w:type="dxa"/>
            <w:tcBorders>
              <w:top w:val="nil"/>
              <w:left w:val="nil"/>
              <w:bottom w:val="nil"/>
              <w:right w:val="nil"/>
            </w:tcBorders>
            <w:shd w:val="clear" w:color="auto" w:fill="auto"/>
            <w:noWrap/>
            <w:vAlign w:val="bottom"/>
            <w:hideMark/>
          </w:tcPr>
          <w:p w:rsidR="00A06A8C" w:rsidRPr="00607022" w:rsidRDefault="00A06A8C" w:rsidP="00582B6E">
            <w:pPr>
              <w:spacing w:after="0" w:line="240" w:lineRule="auto"/>
              <w:ind w:left="-108"/>
              <w:rPr>
                <w:rFonts w:ascii="Times New Roman" w:hAnsi="Times New Roman" w:cs="Times New Roman"/>
                <w:bCs/>
                <w:sz w:val="20"/>
                <w:szCs w:val="20"/>
              </w:rPr>
            </w:pPr>
            <w:r w:rsidRPr="00607022">
              <w:rPr>
                <w:rFonts w:ascii="Times New Roman" w:hAnsi="Times New Roman" w:cs="Times New Roman"/>
                <w:bCs/>
                <w:sz w:val="20"/>
                <w:szCs w:val="20"/>
              </w:rPr>
              <w:t>Total comprehensive income</w:t>
            </w:r>
            <w:r w:rsidR="00582B6E">
              <w:rPr>
                <w:rFonts w:ascii="Times New Roman" w:hAnsi="Times New Roman" w:cs="Times New Roman"/>
                <w:bCs/>
                <w:sz w:val="20"/>
                <w:szCs w:val="20"/>
              </w:rPr>
              <w:t xml:space="preserve"> and profit / (loss)</w:t>
            </w:r>
            <w:r w:rsidR="005105EC" w:rsidRPr="00607022">
              <w:rPr>
                <w:rFonts w:ascii="Times New Roman" w:hAnsi="Times New Roman" w:cs="Times New Roman"/>
                <w:bCs/>
                <w:sz w:val="20"/>
                <w:szCs w:val="20"/>
              </w:rPr>
              <w:t xml:space="preserve"> for the financial</w:t>
            </w:r>
            <w:r w:rsidRPr="00607022">
              <w:rPr>
                <w:rFonts w:ascii="Times New Roman" w:hAnsi="Times New Roman" w:cs="Times New Roman"/>
                <w:bCs/>
                <w:sz w:val="20"/>
                <w:szCs w:val="20"/>
              </w:rPr>
              <w:t xml:space="preserve"> year</w:t>
            </w:r>
          </w:p>
        </w:tc>
        <w:tc>
          <w:tcPr>
            <w:tcW w:w="1642" w:type="dxa"/>
            <w:tcBorders>
              <w:top w:val="nil"/>
              <w:left w:val="nil"/>
              <w:bottom w:val="nil"/>
              <w:right w:val="nil"/>
            </w:tcBorders>
            <w:shd w:val="clear" w:color="auto" w:fill="auto"/>
            <w:noWrap/>
            <w:vAlign w:val="bottom"/>
          </w:tcPr>
          <w:p w:rsidR="00A06A8C" w:rsidRPr="00607022" w:rsidRDefault="00C34A99" w:rsidP="006D2681">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271,177</w:t>
            </w:r>
          </w:p>
        </w:tc>
        <w:tc>
          <w:tcPr>
            <w:tcW w:w="283" w:type="dxa"/>
            <w:tcBorders>
              <w:top w:val="nil"/>
              <w:left w:val="nil"/>
              <w:bottom w:val="nil"/>
              <w:right w:val="nil"/>
            </w:tcBorders>
            <w:shd w:val="clear" w:color="auto" w:fill="auto"/>
            <w:noWrap/>
            <w:vAlign w:val="center"/>
            <w:hideMark/>
          </w:tcPr>
          <w:p w:rsidR="00A06A8C" w:rsidRPr="00607022" w:rsidRDefault="00A06A8C" w:rsidP="00882370">
            <w:pPr>
              <w:spacing w:after="0" w:line="240" w:lineRule="auto"/>
              <w:rPr>
                <w:rFonts w:ascii="Times New Roman" w:hAnsi="Times New Roman" w:cs="Times New Roman"/>
                <w:sz w:val="20"/>
                <w:szCs w:val="20"/>
                <w:highlight w:val="yellow"/>
                <w:lang w:eastAsia="en-GB"/>
              </w:rPr>
            </w:pPr>
          </w:p>
        </w:tc>
        <w:tc>
          <w:tcPr>
            <w:tcW w:w="2127" w:type="dxa"/>
            <w:tcBorders>
              <w:top w:val="nil"/>
              <w:left w:val="nil"/>
              <w:bottom w:val="nil"/>
              <w:right w:val="nil"/>
            </w:tcBorders>
            <w:vAlign w:val="bottom"/>
          </w:tcPr>
          <w:p w:rsidR="00A06A8C" w:rsidRPr="00607022" w:rsidRDefault="00607022" w:rsidP="00882370">
            <w:pPr>
              <w:spacing w:after="0" w:line="240" w:lineRule="auto"/>
              <w:jc w:val="right"/>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(10,801,125)</w:t>
            </w:r>
          </w:p>
        </w:tc>
      </w:tr>
      <w:tr w:rsidR="00927F90" w:rsidRPr="00607022" w:rsidTr="00361109">
        <w:trPr>
          <w:trHeight w:val="300"/>
        </w:trPr>
        <w:tc>
          <w:tcPr>
            <w:tcW w:w="5446" w:type="dxa"/>
            <w:tcBorders>
              <w:top w:val="nil"/>
              <w:left w:val="nil"/>
              <w:bottom w:val="nil"/>
              <w:right w:val="nil"/>
            </w:tcBorders>
            <w:shd w:val="clear" w:color="auto" w:fill="auto"/>
            <w:noWrap/>
            <w:vAlign w:val="bottom"/>
            <w:hideMark/>
          </w:tcPr>
          <w:p w:rsidR="00927F90" w:rsidRPr="00607022" w:rsidRDefault="00927F90" w:rsidP="00927F90">
            <w:pPr>
              <w:spacing w:after="0" w:line="240" w:lineRule="auto"/>
              <w:ind w:left="-108"/>
              <w:rPr>
                <w:rFonts w:ascii="Times New Roman" w:hAnsi="Times New Roman" w:cs="Times New Roman"/>
                <w:bCs/>
                <w:sz w:val="20"/>
                <w:szCs w:val="20"/>
              </w:rPr>
            </w:pPr>
            <w:r w:rsidRPr="00607022">
              <w:rPr>
                <w:rFonts w:ascii="Times New Roman" w:hAnsi="Times New Roman" w:cs="Times New Roman"/>
                <w:bCs/>
                <w:sz w:val="20"/>
                <w:szCs w:val="20"/>
              </w:rPr>
              <w:t xml:space="preserve">Decrease of </w:t>
            </w:r>
            <w:r>
              <w:rPr>
                <w:rFonts w:ascii="Times New Roman" w:hAnsi="Times New Roman" w:cs="Times New Roman"/>
                <w:bCs/>
                <w:sz w:val="20"/>
                <w:szCs w:val="20"/>
              </w:rPr>
              <w:t>share capital on cancellation of shares</w:t>
            </w:r>
          </w:p>
        </w:tc>
        <w:tc>
          <w:tcPr>
            <w:tcW w:w="1642" w:type="dxa"/>
            <w:tcBorders>
              <w:top w:val="nil"/>
              <w:left w:val="nil"/>
              <w:bottom w:val="nil"/>
              <w:right w:val="nil"/>
            </w:tcBorders>
            <w:shd w:val="clear" w:color="auto" w:fill="auto"/>
            <w:noWrap/>
            <w:vAlign w:val="bottom"/>
          </w:tcPr>
          <w:p w:rsidR="00927F90" w:rsidRPr="00607022" w:rsidRDefault="00927F90" w:rsidP="00361109">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(9,413</w:t>
            </w:r>
            <w:r w:rsidRPr="00607022">
              <w:rPr>
                <w:rFonts w:ascii="Times New Roman" w:hAnsi="Times New Roman" w:cs="Times New Roman"/>
                <w:b/>
                <w:bCs/>
                <w:sz w:val="20"/>
                <w:szCs w:val="20"/>
                <w:lang w:eastAsia="en-GB"/>
              </w:rPr>
              <w:t>)</w:t>
            </w:r>
          </w:p>
        </w:tc>
        <w:tc>
          <w:tcPr>
            <w:tcW w:w="283" w:type="dxa"/>
            <w:tcBorders>
              <w:top w:val="nil"/>
              <w:left w:val="nil"/>
              <w:bottom w:val="nil"/>
              <w:right w:val="nil"/>
            </w:tcBorders>
            <w:shd w:val="clear" w:color="auto" w:fill="auto"/>
            <w:noWrap/>
            <w:vAlign w:val="center"/>
            <w:hideMark/>
          </w:tcPr>
          <w:p w:rsidR="00927F90" w:rsidRPr="00607022" w:rsidRDefault="00927F90" w:rsidP="00361109">
            <w:pPr>
              <w:spacing w:after="0" w:line="240" w:lineRule="auto"/>
              <w:rPr>
                <w:rFonts w:ascii="Times New Roman" w:hAnsi="Times New Roman" w:cs="Times New Roman"/>
                <w:sz w:val="20"/>
                <w:szCs w:val="20"/>
                <w:highlight w:val="yellow"/>
                <w:lang w:eastAsia="en-GB"/>
              </w:rPr>
            </w:pPr>
          </w:p>
        </w:tc>
        <w:tc>
          <w:tcPr>
            <w:tcW w:w="2127" w:type="dxa"/>
            <w:tcBorders>
              <w:top w:val="nil"/>
              <w:left w:val="nil"/>
              <w:bottom w:val="nil"/>
              <w:right w:val="nil"/>
            </w:tcBorders>
            <w:vAlign w:val="bottom"/>
          </w:tcPr>
          <w:p w:rsidR="00927F90" w:rsidRPr="00607022" w:rsidRDefault="00927F90" w:rsidP="00361109">
            <w:pPr>
              <w:spacing w:after="0" w:line="240" w:lineRule="auto"/>
              <w:jc w:val="right"/>
              <w:rPr>
                <w:rFonts w:ascii="Times New Roman" w:hAnsi="Times New Roman" w:cs="Times New Roman"/>
                <w:bCs/>
                <w:sz w:val="20"/>
                <w:szCs w:val="20"/>
                <w:lang w:eastAsia="en-GB"/>
              </w:rPr>
            </w:pPr>
            <w:r>
              <w:rPr>
                <w:rFonts w:ascii="Times New Roman" w:hAnsi="Times New Roman" w:cs="Times New Roman"/>
                <w:bCs/>
                <w:sz w:val="20"/>
                <w:szCs w:val="20"/>
                <w:lang w:eastAsia="en-GB"/>
              </w:rPr>
              <w:t>-</w:t>
            </w:r>
          </w:p>
        </w:tc>
      </w:tr>
      <w:tr w:rsidR="00927F90" w:rsidRPr="00607022" w:rsidTr="00361109">
        <w:trPr>
          <w:trHeight w:val="300"/>
        </w:trPr>
        <w:tc>
          <w:tcPr>
            <w:tcW w:w="5446" w:type="dxa"/>
            <w:tcBorders>
              <w:top w:val="nil"/>
              <w:left w:val="nil"/>
              <w:bottom w:val="nil"/>
              <w:right w:val="nil"/>
            </w:tcBorders>
            <w:shd w:val="clear" w:color="auto" w:fill="auto"/>
            <w:noWrap/>
            <w:vAlign w:val="bottom"/>
            <w:hideMark/>
          </w:tcPr>
          <w:p w:rsidR="00927F90" w:rsidRPr="00607022" w:rsidRDefault="00927F90" w:rsidP="00361109">
            <w:pPr>
              <w:spacing w:after="0" w:line="240" w:lineRule="auto"/>
              <w:ind w:left="-108"/>
              <w:rPr>
                <w:rFonts w:ascii="Times New Roman" w:hAnsi="Times New Roman" w:cs="Times New Roman"/>
                <w:bCs/>
                <w:sz w:val="20"/>
                <w:szCs w:val="20"/>
              </w:rPr>
            </w:pPr>
            <w:r>
              <w:rPr>
                <w:rFonts w:ascii="Times New Roman" w:hAnsi="Times New Roman" w:cs="Times New Roman"/>
                <w:bCs/>
                <w:sz w:val="20"/>
                <w:szCs w:val="20"/>
              </w:rPr>
              <w:t>Increase of capital redemption reserves on cancellation of shares</w:t>
            </w:r>
          </w:p>
        </w:tc>
        <w:tc>
          <w:tcPr>
            <w:tcW w:w="1642" w:type="dxa"/>
            <w:tcBorders>
              <w:top w:val="nil"/>
              <w:left w:val="nil"/>
              <w:bottom w:val="nil"/>
              <w:right w:val="nil"/>
            </w:tcBorders>
            <w:shd w:val="clear" w:color="auto" w:fill="auto"/>
            <w:noWrap/>
            <w:vAlign w:val="bottom"/>
          </w:tcPr>
          <w:p w:rsidR="00927F90" w:rsidRPr="00607022" w:rsidRDefault="00927F90" w:rsidP="00361109">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9,413</w:t>
            </w:r>
          </w:p>
        </w:tc>
        <w:tc>
          <w:tcPr>
            <w:tcW w:w="283" w:type="dxa"/>
            <w:tcBorders>
              <w:top w:val="nil"/>
              <w:left w:val="nil"/>
              <w:bottom w:val="nil"/>
              <w:right w:val="nil"/>
            </w:tcBorders>
            <w:shd w:val="clear" w:color="auto" w:fill="auto"/>
            <w:noWrap/>
            <w:vAlign w:val="center"/>
            <w:hideMark/>
          </w:tcPr>
          <w:p w:rsidR="00927F90" w:rsidRPr="00607022" w:rsidRDefault="00927F90" w:rsidP="00361109">
            <w:pPr>
              <w:spacing w:after="0" w:line="240" w:lineRule="auto"/>
              <w:rPr>
                <w:rFonts w:ascii="Times New Roman" w:hAnsi="Times New Roman" w:cs="Times New Roman"/>
                <w:sz w:val="20"/>
                <w:szCs w:val="20"/>
                <w:highlight w:val="yellow"/>
                <w:lang w:eastAsia="en-GB"/>
              </w:rPr>
            </w:pPr>
          </w:p>
        </w:tc>
        <w:tc>
          <w:tcPr>
            <w:tcW w:w="2127" w:type="dxa"/>
            <w:tcBorders>
              <w:top w:val="nil"/>
              <w:left w:val="nil"/>
              <w:bottom w:val="nil"/>
              <w:right w:val="nil"/>
            </w:tcBorders>
            <w:vAlign w:val="bottom"/>
          </w:tcPr>
          <w:p w:rsidR="00927F90" w:rsidRPr="00607022" w:rsidRDefault="00927F90" w:rsidP="00361109">
            <w:pPr>
              <w:spacing w:after="0" w:line="240" w:lineRule="auto"/>
              <w:jc w:val="right"/>
              <w:rPr>
                <w:rFonts w:ascii="Times New Roman" w:hAnsi="Times New Roman" w:cs="Times New Roman"/>
                <w:bCs/>
                <w:sz w:val="20"/>
                <w:szCs w:val="20"/>
                <w:lang w:eastAsia="en-GB"/>
              </w:rPr>
            </w:pPr>
            <w:r>
              <w:rPr>
                <w:rFonts w:ascii="Times New Roman" w:hAnsi="Times New Roman" w:cs="Times New Roman"/>
                <w:bCs/>
                <w:sz w:val="20"/>
                <w:szCs w:val="20"/>
                <w:lang w:eastAsia="en-GB"/>
              </w:rPr>
              <w:t>-</w:t>
            </w:r>
          </w:p>
        </w:tc>
      </w:tr>
      <w:tr w:rsidR="00927F90" w:rsidRPr="00607022" w:rsidTr="00361109">
        <w:trPr>
          <w:trHeight w:val="300"/>
        </w:trPr>
        <w:tc>
          <w:tcPr>
            <w:tcW w:w="5446" w:type="dxa"/>
            <w:tcBorders>
              <w:top w:val="nil"/>
              <w:left w:val="nil"/>
              <w:bottom w:val="nil"/>
              <w:right w:val="nil"/>
            </w:tcBorders>
            <w:shd w:val="clear" w:color="auto" w:fill="auto"/>
            <w:noWrap/>
            <w:vAlign w:val="bottom"/>
            <w:hideMark/>
          </w:tcPr>
          <w:p w:rsidR="00927F90" w:rsidRPr="00607022" w:rsidRDefault="00927F90" w:rsidP="00927F90">
            <w:pPr>
              <w:spacing w:after="0" w:line="240" w:lineRule="auto"/>
              <w:ind w:left="-108"/>
              <w:rPr>
                <w:rFonts w:ascii="Times New Roman" w:hAnsi="Times New Roman" w:cs="Times New Roman"/>
                <w:bCs/>
                <w:sz w:val="20"/>
                <w:szCs w:val="20"/>
              </w:rPr>
            </w:pPr>
            <w:r w:rsidRPr="00607022">
              <w:rPr>
                <w:rFonts w:ascii="Times New Roman" w:hAnsi="Times New Roman" w:cs="Times New Roman"/>
                <w:bCs/>
                <w:sz w:val="20"/>
                <w:szCs w:val="20"/>
              </w:rPr>
              <w:t xml:space="preserve">Decrease of </w:t>
            </w:r>
            <w:r>
              <w:rPr>
                <w:rFonts w:ascii="Times New Roman" w:hAnsi="Times New Roman" w:cs="Times New Roman"/>
                <w:bCs/>
                <w:sz w:val="20"/>
                <w:szCs w:val="20"/>
              </w:rPr>
              <w:t>retained earnings on cancellation of shares</w:t>
            </w:r>
          </w:p>
        </w:tc>
        <w:tc>
          <w:tcPr>
            <w:tcW w:w="1642" w:type="dxa"/>
            <w:tcBorders>
              <w:top w:val="nil"/>
              <w:left w:val="nil"/>
              <w:bottom w:val="nil"/>
              <w:right w:val="nil"/>
            </w:tcBorders>
            <w:shd w:val="clear" w:color="auto" w:fill="auto"/>
            <w:noWrap/>
            <w:vAlign w:val="bottom"/>
          </w:tcPr>
          <w:p w:rsidR="00927F90" w:rsidRPr="00607022" w:rsidRDefault="00927F90" w:rsidP="00361109">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(151,342</w:t>
            </w:r>
            <w:r w:rsidRPr="00607022">
              <w:rPr>
                <w:rFonts w:ascii="Times New Roman" w:hAnsi="Times New Roman" w:cs="Times New Roman"/>
                <w:b/>
                <w:bCs/>
                <w:sz w:val="20"/>
                <w:szCs w:val="20"/>
                <w:lang w:eastAsia="en-GB"/>
              </w:rPr>
              <w:t>)</w:t>
            </w:r>
          </w:p>
        </w:tc>
        <w:tc>
          <w:tcPr>
            <w:tcW w:w="283" w:type="dxa"/>
            <w:tcBorders>
              <w:top w:val="nil"/>
              <w:left w:val="nil"/>
              <w:bottom w:val="nil"/>
              <w:right w:val="nil"/>
            </w:tcBorders>
            <w:shd w:val="clear" w:color="auto" w:fill="auto"/>
            <w:noWrap/>
            <w:vAlign w:val="center"/>
            <w:hideMark/>
          </w:tcPr>
          <w:p w:rsidR="00927F90" w:rsidRPr="00607022" w:rsidRDefault="00927F90" w:rsidP="00361109">
            <w:pPr>
              <w:spacing w:after="0" w:line="240" w:lineRule="auto"/>
              <w:rPr>
                <w:rFonts w:ascii="Times New Roman" w:hAnsi="Times New Roman" w:cs="Times New Roman"/>
                <w:sz w:val="20"/>
                <w:szCs w:val="20"/>
                <w:highlight w:val="yellow"/>
                <w:lang w:eastAsia="en-GB"/>
              </w:rPr>
            </w:pPr>
          </w:p>
        </w:tc>
        <w:tc>
          <w:tcPr>
            <w:tcW w:w="2127" w:type="dxa"/>
            <w:tcBorders>
              <w:top w:val="nil"/>
              <w:left w:val="nil"/>
              <w:bottom w:val="nil"/>
              <w:right w:val="nil"/>
            </w:tcBorders>
            <w:vAlign w:val="bottom"/>
          </w:tcPr>
          <w:p w:rsidR="00927F90" w:rsidRPr="00607022" w:rsidRDefault="00927F90" w:rsidP="00361109">
            <w:pPr>
              <w:spacing w:after="0" w:line="240" w:lineRule="auto"/>
              <w:jc w:val="right"/>
              <w:rPr>
                <w:rFonts w:ascii="Times New Roman" w:hAnsi="Times New Roman" w:cs="Times New Roman"/>
                <w:bCs/>
                <w:sz w:val="20"/>
                <w:szCs w:val="20"/>
                <w:lang w:eastAsia="en-GB"/>
              </w:rPr>
            </w:pPr>
            <w:r>
              <w:rPr>
                <w:rFonts w:ascii="Times New Roman" w:hAnsi="Times New Roman" w:cs="Times New Roman"/>
                <w:bCs/>
                <w:sz w:val="20"/>
                <w:szCs w:val="20"/>
                <w:lang w:eastAsia="en-GB"/>
              </w:rPr>
              <w:t>-</w:t>
            </w:r>
          </w:p>
        </w:tc>
      </w:tr>
      <w:tr w:rsidR="00A06A8C" w:rsidRPr="00607022" w:rsidTr="00AB4A7D">
        <w:trPr>
          <w:trHeight w:val="300"/>
        </w:trPr>
        <w:tc>
          <w:tcPr>
            <w:tcW w:w="5446" w:type="dxa"/>
            <w:tcBorders>
              <w:top w:val="nil"/>
              <w:left w:val="nil"/>
              <w:bottom w:val="nil"/>
              <w:right w:val="nil"/>
            </w:tcBorders>
            <w:shd w:val="clear" w:color="auto" w:fill="auto"/>
            <w:noWrap/>
            <w:vAlign w:val="bottom"/>
            <w:hideMark/>
          </w:tcPr>
          <w:p w:rsidR="00A06A8C" w:rsidRPr="00607022" w:rsidRDefault="006F3003" w:rsidP="00582B6E">
            <w:pPr>
              <w:spacing w:after="0" w:line="240" w:lineRule="auto"/>
              <w:ind w:left="-108"/>
              <w:rPr>
                <w:rFonts w:ascii="Times New Roman" w:hAnsi="Times New Roman" w:cs="Times New Roman"/>
                <w:bCs/>
                <w:sz w:val="20"/>
                <w:szCs w:val="20"/>
              </w:rPr>
            </w:pPr>
            <w:r w:rsidRPr="00607022">
              <w:rPr>
                <w:rFonts w:ascii="Times New Roman" w:hAnsi="Times New Roman" w:cs="Times New Roman"/>
                <w:bCs/>
                <w:sz w:val="20"/>
                <w:szCs w:val="20"/>
              </w:rPr>
              <w:t xml:space="preserve">Decrease of </w:t>
            </w:r>
            <w:r w:rsidR="00582B6E">
              <w:rPr>
                <w:rFonts w:ascii="Times New Roman" w:hAnsi="Times New Roman" w:cs="Times New Roman"/>
                <w:bCs/>
                <w:sz w:val="20"/>
                <w:szCs w:val="20"/>
              </w:rPr>
              <w:t>share capital</w:t>
            </w:r>
            <w:r w:rsidRPr="00607022">
              <w:rPr>
                <w:rFonts w:ascii="Times New Roman" w:hAnsi="Times New Roman" w:cs="Times New Roman"/>
                <w:bCs/>
                <w:sz w:val="20"/>
                <w:szCs w:val="20"/>
              </w:rPr>
              <w:t xml:space="preserve"> to Treasury account</w:t>
            </w:r>
          </w:p>
        </w:tc>
        <w:tc>
          <w:tcPr>
            <w:tcW w:w="1642" w:type="dxa"/>
            <w:tcBorders>
              <w:top w:val="nil"/>
              <w:left w:val="nil"/>
              <w:bottom w:val="nil"/>
              <w:right w:val="nil"/>
            </w:tcBorders>
            <w:shd w:val="clear" w:color="auto" w:fill="auto"/>
            <w:noWrap/>
            <w:vAlign w:val="bottom"/>
          </w:tcPr>
          <w:p w:rsidR="00A06A8C" w:rsidRPr="00607022" w:rsidRDefault="00927F90" w:rsidP="00882370">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w:t>
            </w:r>
          </w:p>
        </w:tc>
        <w:tc>
          <w:tcPr>
            <w:tcW w:w="283" w:type="dxa"/>
            <w:tcBorders>
              <w:top w:val="nil"/>
              <w:left w:val="nil"/>
              <w:bottom w:val="nil"/>
              <w:right w:val="nil"/>
            </w:tcBorders>
            <w:shd w:val="clear" w:color="auto" w:fill="auto"/>
            <w:noWrap/>
            <w:vAlign w:val="center"/>
            <w:hideMark/>
          </w:tcPr>
          <w:p w:rsidR="00A06A8C" w:rsidRPr="00607022" w:rsidRDefault="00A06A8C" w:rsidP="00882370">
            <w:pPr>
              <w:spacing w:after="0" w:line="240" w:lineRule="auto"/>
              <w:rPr>
                <w:rFonts w:ascii="Times New Roman" w:hAnsi="Times New Roman" w:cs="Times New Roman"/>
                <w:sz w:val="20"/>
                <w:szCs w:val="20"/>
                <w:highlight w:val="yellow"/>
                <w:lang w:eastAsia="en-GB"/>
              </w:rPr>
            </w:pPr>
          </w:p>
        </w:tc>
        <w:tc>
          <w:tcPr>
            <w:tcW w:w="2127" w:type="dxa"/>
            <w:tcBorders>
              <w:top w:val="nil"/>
              <w:left w:val="nil"/>
              <w:bottom w:val="nil"/>
              <w:right w:val="nil"/>
            </w:tcBorders>
            <w:vAlign w:val="bottom"/>
          </w:tcPr>
          <w:p w:rsidR="00A06A8C" w:rsidRPr="00607022" w:rsidRDefault="00607022" w:rsidP="00882370">
            <w:pPr>
              <w:spacing w:after="0" w:line="240" w:lineRule="auto"/>
              <w:jc w:val="right"/>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(41,141)</w:t>
            </w:r>
          </w:p>
        </w:tc>
      </w:tr>
      <w:tr w:rsidR="00A06A8C" w:rsidRPr="00607022" w:rsidTr="00AB4A7D">
        <w:trPr>
          <w:trHeight w:val="300"/>
        </w:trPr>
        <w:tc>
          <w:tcPr>
            <w:tcW w:w="5446" w:type="dxa"/>
            <w:tcBorders>
              <w:top w:val="nil"/>
              <w:left w:val="nil"/>
              <w:bottom w:val="nil"/>
              <w:right w:val="nil"/>
            </w:tcBorders>
            <w:shd w:val="clear" w:color="auto" w:fill="auto"/>
            <w:noWrap/>
            <w:vAlign w:val="bottom"/>
            <w:hideMark/>
          </w:tcPr>
          <w:p w:rsidR="00A06A8C" w:rsidRPr="00607022" w:rsidRDefault="00A06A8C" w:rsidP="00882370">
            <w:pPr>
              <w:spacing w:after="0" w:line="240" w:lineRule="auto"/>
              <w:ind w:left="-108"/>
              <w:rPr>
                <w:rFonts w:ascii="Times New Roman" w:hAnsi="Times New Roman" w:cs="Times New Roman"/>
                <w:bCs/>
                <w:sz w:val="20"/>
                <w:szCs w:val="20"/>
              </w:rPr>
            </w:pPr>
            <w:r w:rsidRPr="00607022">
              <w:rPr>
                <w:rFonts w:ascii="Times New Roman" w:hAnsi="Times New Roman" w:cs="Times New Roman"/>
                <w:bCs/>
                <w:sz w:val="20"/>
                <w:szCs w:val="20"/>
              </w:rPr>
              <w:t>Dividends paid (net)</w:t>
            </w:r>
          </w:p>
        </w:tc>
        <w:tc>
          <w:tcPr>
            <w:tcW w:w="1642" w:type="dxa"/>
            <w:tcBorders>
              <w:top w:val="nil"/>
              <w:left w:val="nil"/>
              <w:right w:val="nil"/>
            </w:tcBorders>
            <w:shd w:val="clear" w:color="auto" w:fill="auto"/>
            <w:noWrap/>
            <w:vAlign w:val="center"/>
          </w:tcPr>
          <w:p w:rsidR="00A06A8C" w:rsidRPr="00607022" w:rsidRDefault="00927F90" w:rsidP="00882370">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(1,348,514</w:t>
            </w:r>
            <w:r w:rsidR="0074154D" w:rsidRPr="00607022">
              <w:rPr>
                <w:rFonts w:ascii="Times New Roman" w:hAnsi="Times New Roman" w:cs="Times New Roman"/>
                <w:b/>
                <w:bCs/>
                <w:sz w:val="20"/>
                <w:szCs w:val="20"/>
                <w:lang w:eastAsia="en-GB"/>
              </w:rPr>
              <w:t>)</w:t>
            </w:r>
          </w:p>
        </w:tc>
        <w:tc>
          <w:tcPr>
            <w:tcW w:w="283" w:type="dxa"/>
            <w:tcBorders>
              <w:top w:val="nil"/>
              <w:left w:val="nil"/>
              <w:bottom w:val="nil"/>
              <w:right w:val="nil"/>
            </w:tcBorders>
            <w:shd w:val="clear" w:color="auto" w:fill="auto"/>
            <w:noWrap/>
            <w:vAlign w:val="center"/>
            <w:hideMark/>
          </w:tcPr>
          <w:p w:rsidR="00A06A8C" w:rsidRPr="00607022" w:rsidRDefault="00A06A8C" w:rsidP="00882370">
            <w:pPr>
              <w:spacing w:after="0" w:line="240" w:lineRule="auto"/>
              <w:rPr>
                <w:rFonts w:ascii="Times New Roman" w:hAnsi="Times New Roman" w:cs="Times New Roman"/>
                <w:sz w:val="20"/>
                <w:szCs w:val="20"/>
                <w:highlight w:val="yellow"/>
                <w:lang w:eastAsia="en-GB"/>
              </w:rPr>
            </w:pPr>
          </w:p>
        </w:tc>
        <w:tc>
          <w:tcPr>
            <w:tcW w:w="2127" w:type="dxa"/>
            <w:tcBorders>
              <w:top w:val="nil"/>
              <w:left w:val="nil"/>
              <w:bottom w:val="nil"/>
              <w:right w:val="nil"/>
            </w:tcBorders>
            <w:vAlign w:val="center"/>
          </w:tcPr>
          <w:p w:rsidR="00A06A8C" w:rsidRPr="00607022" w:rsidRDefault="00607022" w:rsidP="00882370">
            <w:pPr>
              <w:spacing w:after="0" w:line="240" w:lineRule="auto"/>
              <w:jc w:val="right"/>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(2,347,989)</w:t>
            </w:r>
          </w:p>
        </w:tc>
      </w:tr>
      <w:tr w:rsidR="00A06A8C" w:rsidRPr="00607022" w:rsidTr="0074154D">
        <w:trPr>
          <w:trHeight w:val="300"/>
        </w:trPr>
        <w:tc>
          <w:tcPr>
            <w:tcW w:w="5446" w:type="dxa"/>
            <w:tcBorders>
              <w:top w:val="nil"/>
              <w:left w:val="nil"/>
              <w:bottom w:val="nil"/>
              <w:right w:val="nil"/>
            </w:tcBorders>
            <w:shd w:val="clear" w:color="auto" w:fill="auto"/>
            <w:noWrap/>
            <w:vAlign w:val="center"/>
            <w:hideMark/>
          </w:tcPr>
          <w:p w:rsidR="00A06A8C" w:rsidRPr="00607022" w:rsidRDefault="00A06A8C" w:rsidP="00882370">
            <w:pPr>
              <w:spacing w:after="0" w:line="240" w:lineRule="auto"/>
              <w:ind w:left="-108"/>
              <w:rPr>
                <w:rFonts w:ascii="Times New Roman" w:hAnsi="Times New Roman" w:cs="Times New Roman"/>
                <w:b/>
                <w:bCs/>
                <w:sz w:val="20"/>
                <w:szCs w:val="20"/>
              </w:rPr>
            </w:pPr>
            <w:r w:rsidRPr="00607022">
              <w:rPr>
                <w:rFonts w:ascii="Times New Roman" w:hAnsi="Times New Roman" w:cs="Times New Roman"/>
                <w:b/>
                <w:bCs/>
                <w:sz w:val="20"/>
                <w:szCs w:val="20"/>
              </w:rPr>
              <w:t>Closing capital and reserves attributable to equity holders</w:t>
            </w:r>
          </w:p>
        </w:tc>
        <w:tc>
          <w:tcPr>
            <w:tcW w:w="1642" w:type="dxa"/>
            <w:tcBorders>
              <w:top w:val="single" w:sz="4" w:space="0" w:color="auto"/>
              <w:left w:val="nil"/>
              <w:bottom w:val="single" w:sz="8" w:space="0" w:color="auto"/>
              <w:right w:val="nil"/>
            </w:tcBorders>
            <w:shd w:val="clear" w:color="auto" w:fill="auto"/>
            <w:noWrap/>
            <w:vAlign w:val="center"/>
          </w:tcPr>
          <w:p w:rsidR="00A06A8C" w:rsidRPr="00607022" w:rsidRDefault="00927F90" w:rsidP="006D2681">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50,598,883</w:t>
            </w:r>
          </w:p>
        </w:tc>
        <w:tc>
          <w:tcPr>
            <w:tcW w:w="283" w:type="dxa"/>
            <w:tcBorders>
              <w:top w:val="nil"/>
              <w:left w:val="nil"/>
              <w:bottom w:val="nil"/>
              <w:right w:val="nil"/>
            </w:tcBorders>
            <w:shd w:val="clear" w:color="auto" w:fill="auto"/>
            <w:noWrap/>
            <w:vAlign w:val="center"/>
            <w:hideMark/>
          </w:tcPr>
          <w:p w:rsidR="00A06A8C" w:rsidRPr="00607022" w:rsidRDefault="00A06A8C" w:rsidP="00882370">
            <w:pPr>
              <w:spacing w:after="0" w:line="240" w:lineRule="auto"/>
              <w:jc w:val="right"/>
              <w:rPr>
                <w:rFonts w:ascii="Times New Roman" w:hAnsi="Times New Roman" w:cs="Times New Roman"/>
                <w:sz w:val="20"/>
                <w:szCs w:val="20"/>
                <w:highlight w:val="yellow"/>
                <w:lang w:eastAsia="en-GB"/>
              </w:rPr>
            </w:pPr>
          </w:p>
        </w:tc>
        <w:tc>
          <w:tcPr>
            <w:tcW w:w="2127" w:type="dxa"/>
            <w:tcBorders>
              <w:top w:val="single" w:sz="4" w:space="0" w:color="auto"/>
              <w:left w:val="nil"/>
              <w:bottom w:val="single" w:sz="8" w:space="0" w:color="auto"/>
              <w:right w:val="nil"/>
            </w:tcBorders>
            <w:vAlign w:val="center"/>
          </w:tcPr>
          <w:p w:rsidR="00A06A8C" w:rsidRPr="00607022" w:rsidRDefault="00607022" w:rsidP="00882370">
            <w:pPr>
              <w:spacing w:after="0" w:line="240" w:lineRule="auto"/>
              <w:jc w:val="right"/>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51,827,562</w:t>
            </w:r>
          </w:p>
        </w:tc>
      </w:tr>
    </w:tbl>
    <w:p w:rsidR="00433406" w:rsidRPr="00607022" w:rsidRDefault="00882370" w:rsidP="00882370">
      <w:pPr>
        <w:tabs>
          <w:tab w:val="left" w:pos="1767"/>
        </w:tabs>
        <w:rPr>
          <w:rFonts w:ascii="Times New Roman" w:hAnsi="Times New Roman" w:cs="Times New Roman"/>
          <w:bCs/>
          <w:sz w:val="20"/>
          <w:szCs w:val="20"/>
        </w:rPr>
      </w:pPr>
      <w:r w:rsidRPr="00607022">
        <w:rPr>
          <w:rFonts w:ascii="Times New Roman" w:hAnsi="Times New Roman" w:cs="Times New Roman"/>
          <w:bCs/>
          <w:sz w:val="20"/>
          <w:szCs w:val="20"/>
        </w:rPr>
        <w:tab/>
      </w:r>
    </w:p>
    <w:p w:rsidR="00433406" w:rsidRPr="00607022" w:rsidRDefault="00433406" w:rsidP="00433406">
      <w:pPr>
        <w:rPr>
          <w:rFonts w:ascii="Times New Roman" w:hAnsi="Times New Roman" w:cs="Times New Roman"/>
          <w:color w:val="002060"/>
          <w:sz w:val="20"/>
          <w:szCs w:val="20"/>
          <w:highlight w:val="yellow"/>
        </w:rPr>
      </w:pPr>
      <w:r w:rsidRPr="00607022">
        <w:rPr>
          <w:rFonts w:ascii="Times New Roman" w:hAnsi="Times New Roman" w:cs="Times New Roman"/>
          <w:color w:val="002060"/>
          <w:sz w:val="20"/>
          <w:szCs w:val="20"/>
          <w:highlight w:val="yellow"/>
        </w:rPr>
        <w:br w:type="page"/>
      </w:r>
    </w:p>
    <w:p w:rsidR="00433406" w:rsidRPr="00607022" w:rsidRDefault="00433406" w:rsidP="00882370">
      <w:pPr>
        <w:spacing w:after="0" w:line="240" w:lineRule="auto"/>
        <w:rPr>
          <w:rFonts w:ascii="Times New Roman" w:hAnsi="Times New Roman" w:cs="Times New Roman"/>
          <w:b/>
          <w:bCs/>
          <w:sz w:val="20"/>
          <w:szCs w:val="20"/>
        </w:rPr>
      </w:pPr>
      <w:r w:rsidRPr="00607022">
        <w:rPr>
          <w:rFonts w:ascii="Times New Roman" w:hAnsi="Times New Roman" w:cs="Times New Roman"/>
          <w:b/>
          <w:bCs/>
          <w:sz w:val="20"/>
          <w:szCs w:val="20"/>
        </w:rPr>
        <w:lastRenderedPageBreak/>
        <w:t xml:space="preserve">CONSOLIDATED </w:t>
      </w:r>
      <w:r w:rsidR="00882370" w:rsidRPr="00607022">
        <w:rPr>
          <w:rFonts w:ascii="Times New Roman" w:hAnsi="Times New Roman" w:cs="Times New Roman"/>
          <w:b/>
          <w:bCs/>
          <w:sz w:val="20"/>
          <w:szCs w:val="20"/>
        </w:rPr>
        <w:t>STATEMENT OF FINANCIAL POSITION</w:t>
      </w:r>
    </w:p>
    <w:p w:rsidR="00433406" w:rsidRPr="00607022" w:rsidRDefault="00433406" w:rsidP="00882370">
      <w:pPr>
        <w:spacing w:after="0" w:line="240" w:lineRule="auto"/>
        <w:rPr>
          <w:rFonts w:ascii="Times New Roman" w:hAnsi="Times New Roman" w:cs="Times New Roman"/>
          <w:spacing w:val="2"/>
          <w:sz w:val="20"/>
          <w:szCs w:val="20"/>
        </w:rPr>
      </w:pPr>
      <w:proofErr w:type="gramStart"/>
      <w:r w:rsidRPr="00607022">
        <w:rPr>
          <w:rFonts w:ascii="Times New Roman" w:hAnsi="Times New Roman" w:cs="Times New Roman"/>
          <w:spacing w:val="2"/>
          <w:sz w:val="20"/>
          <w:szCs w:val="20"/>
        </w:rPr>
        <w:t>at</w:t>
      </w:r>
      <w:proofErr w:type="gramEnd"/>
      <w:r w:rsidRPr="00607022">
        <w:rPr>
          <w:rFonts w:ascii="Times New Roman" w:hAnsi="Times New Roman" w:cs="Times New Roman"/>
          <w:spacing w:val="2"/>
          <w:sz w:val="20"/>
          <w:szCs w:val="20"/>
        </w:rPr>
        <w:t xml:space="preserve"> </w:t>
      </w:r>
      <w:r w:rsidR="006C61DF" w:rsidRPr="00607022">
        <w:rPr>
          <w:rFonts w:ascii="Times New Roman" w:hAnsi="Times New Roman" w:cs="Times New Roman"/>
          <w:spacing w:val="2"/>
          <w:sz w:val="20"/>
          <w:szCs w:val="20"/>
        </w:rPr>
        <w:t>30 June</w:t>
      </w:r>
    </w:p>
    <w:tbl>
      <w:tblPr>
        <w:tblW w:w="9606" w:type="dxa"/>
        <w:tblLayout w:type="fixed"/>
        <w:tblLook w:val="04A0" w:firstRow="1" w:lastRow="0" w:firstColumn="1" w:lastColumn="0" w:noHBand="0" w:noVBand="1"/>
      </w:tblPr>
      <w:tblGrid>
        <w:gridCol w:w="5637"/>
        <w:gridCol w:w="1843"/>
        <w:gridCol w:w="284"/>
        <w:gridCol w:w="1842"/>
      </w:tblGrid>
      <w:tr w:rsidR="004F3550" w:rsidRPr="00607022" w:rsidTr="004F3550">
        <w:trPr>
          <w:cantSplit/>
          <w:trHeight w:hRule="exact" w:val="737"/>
        </w:trPr>
        <w:tc>
          <w:tcPr>
            <w:tcW w:w="5637" w:type="dxa"/>
            <w:vAlign w:val="bottom"/>
          </w:tcPr>
          <w:p w:rsidR="004F3550" w:rsidRPr="00607022" w:rsidRDefault="004F3550" w:rsidP="00882370">
            <w:pPr>
              <w:spacing w:after="0" w:line="240" w:lineRule="auto"/>
              <w:rPr>
                <w:rFonts w:ascii="Times New Roman" w:eastAsia="Calibri" w:hAnsi="Times New Roman" w:cs="Times New Roman"/>
                <w:bCs/>
                <w:sz w:val="20"/>
                <w:szCs w:val="20"/>
              </w:rPr>
            </w:pPr>
          </w:p>
        </w:tc>
        <w:tc>
          <w:tcPr>
            <w:tcW w:w="1843" w:type="dxa"/>
            <w:noWrap/>
            <w:vAlign w:val="bottom"/>
          </w:tcPr>
          <w:p w:rsidR="004F3550" w:rsidRPr="00607022" w:rsidRDefault="004F3550" w:rsidP="00882370">
            <w:pPr>
              <w:tabs>
                <w:tab w:val="decimal" w:pos="2073"/>
              </w:tabs>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30 June 201</w:t>
            </w:r>
            <w:r w:rsidR="00927F90">
              <w:rPr>
                <w:rFonts w:ascii="Times New Roman" w:eastAsia="Calibri" w:hAnsi="Times New Roman" w:cs="Times New Roman"/>
                <w:b/>
                <w:bCs/>
                <w:sz w:val="20"/>
                <w:szCs w:val="20"/>
              </w:rPr>
              <w:t>6</w:t>
            </w:r>
          </w:p>
          <w:p w:rsidR="004F3550" w:rsidRPr="00607022" w:rsidRDefault="004F3550" w:rsidP="00882370">
            <w:pPr>
              <w:tabs>
                <w:tab w:val="decimal" w:pos="2073"/>
              </w:tabs>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w:t>
            </w:r>
          </w:p>
        </w:tc>
        <w:tc>
          <w:tcPr>
            <w:tcW w:w="284" w:type="dxa"/>
            <w:noWrap/>
            <w:vAlign w:val="bottom"/>
          </w:tcPr>
          <w:p w:rsidR="004F3550" w:rsidRPr="00607022" w:rsidRDefault="004F3550" w:rsidP="00882370">
            <w:pPr>
              <w:spacing w:after="0" w:line="240" w:lineRule="auto"/>
              <w:jc w:val="right"/>
              <w:rPr>
                <w:rFonts w:ascii="Times New Roman" w:eastAsia="Calibri" w:hAnsi="Times New Roman" w:cs="Times New Roman"/>
                <w:bCs/>
                <w:sz w:val="20"/>
                <w:szCs w:val="20"/>
              </w:rPr>
            </w:pPr>
          </w:p>
        </w:tc>
        <w:tc>
          <w:tcPr>
            <w:tcW w:w="1842" w:type="dxa"/>
            <w:vAlign w:val="bottom"/>
          </w:tcPr>
          <w:p w:rsidR="004F3550" w:rsidRPr="008F2EB6" w:rsidRDefault="004F3550" w:rsidP="00882370">
            <w:pPr>
              <w:tabs>
                <w:tab w:val="decimal" w:pos="2073"/>
              </w:tabs>
              <w:spacing w:after="0" w:line="240" w:lineRule="auto"/>
              <w:rPr>
                <w:rFonts w:ascii="Times New Roman" w:eastAsia="Calibri" w:hAnsi="Times New Roman" w:cs="Times New Roman"/>
                <w:bCs/>
                <w:sz w:val="20"/>
                <w:szCs w:val="20"/>
              </w:rPr>
            </w:pPr>
            <w:r w:rsidRPr="008F2EB6">
              <w:rPr>
                <w:rFonts w:ascii="Times New Roman" w:eastAsia="Calibri" w:hAnsi="Times New Roman" w:cs="Times New Roman"/>
                <w:bCs/>
                <w:sz w:val="20"/>
                <w:szCs w:val="20"/>
              </w:rPr>
              <w:t>30 June 201</w:t>
            </w:r>
            <w:r w:rsidR="00607022" w:rsidRPr="008F2EB6">
              <w:rPr>
                <w:rFonts w:ascii="Times New Roman" w:eastAsia="Calibri" w:hAnsi="Times New Roman" w:cs="Times New Roman"/>
                <w:bCs/>
                <w:sz w:val="20"/>
                <w:szCs w:val="20"/>
              </w:rPr>
              <w:t>5</w:t>
            </w:r>
          </w:p>
          <w:p w:rsidR="004F3550" w:rsidRPr="008F2EB6" w:rsidRDefault="004F3550" w:rsidP="00882370">
            <w:pPr>
              <w:tabs>
                <w:tab w:val="decimal" w:pos="2073"/>
              </w:tabs>
              <w:spacing w:after="0" w:line="240" w:lineRule="auto"/>
              <w:rPr>
                <w:rFonts w:ascii="Times New Roman" w:eastAsia="Calibri" w:hAnsi="Times New Roman" w:cs="Times New Roman"/>
                <w:bCs/>
                <w:sz w:val="20"/>
                <w:szCs w:val="20"/>
              </w:rPr>
            </w:pPr>
            <w:r w:rsidRPr="008F2EB6">
              <w:rPr>
                <w:rFonts w:ascii="Times New Roman" w:eastAsia="Calibri" w:hAnsi="Times New Roman" w:cs="Times New Roman"/>
                <w:bCs/>
                <w:sz w:val="20"/>
                <w:szCs w:val="20"/>
              </w:rPr>
              <w:t>£</w:t>
            </w:r>
          </w:p>
        </w:tc>
      </w:tr>
      <w:tr w:rsidR="004F3550" w:rsidRPr="00607022" w:rsidTr="004F3550">
        <w:trPr>
          <w:cantSplit/>
          <w:trHeight w:hRule="exact" w:val="284"/>
        </w:trPr>
        <w:tc>
          <w:tcPr>
            <w:tcW w:w="5637" w:type="dxa"/>
            <w:vAlign w:val="bottom"/>
          </w:tcPr>
          <w:p w:rsidR="004F3550" w:rsidRPr="00607022" w:rsidRDefault="004F3550" w:rsidP="00882370">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Non-current assets</w:t>
            </w:r>
          </w:p>
        </w:tc>
        <w:tc>
          <w:tcPr>
            <w:tcW w:w="1843" w:type="dxa"/>
          </w:tcPr>
          <w:p w:rsidR="004F3550" w:rsidRPr="00607022" w:rsidRDefault="004F3550" w:rsidP="00882370">
            <w:pPr>
              <w:spacing w:after="0" w:line="240" w:lineRule="auto"/>
              <w:jc w:val="right"/>
              <w:rPr>
                <w:rFonts w:ascii="Times New Roman" w:eastAsia="Calibri" w:hAnsi="Times New Roman" w:cs="Times New Roman"/>
                <w:b/>
                <w:bCs/>
                <w:sz w:val="20"/>
                <w:szCs w:val="20"/>
              </w:rPr>
            </w:pPr>
          </w:p>
        </w:tc>
        <w:tc>
          <w:tcPr>
            <w:tcW w:w="284" w:type="dxa"/>
          </w:tcPr>
          <w:p w:rsidR="004F3550" w:rsidRPr="00607022" w:rsidRDefault="004F3550" w:rsidP="00882370">
            <w:pPr>
              <w:spacing w:after="0" w:line="240" w:lineRule="auto"/>
              <w:jc w:val="right"/>
              <w:rPr>
                <w:rFonts w:ascii="Times New Roman" w:eastAsia="Calibri" w:hAnsi="Times New Roman" w:cs="Times New Roman"/>
                <w:bCs/>
                <w:sz w:val="20"/>
                <w:szCs w:val="20"/>
              </w:rPr>
            </w:pPr>
          </w:p>
        </w:tc>
        <w:tc>
          <w:tcPr>
            <w:tcW w:w="1842" w:type="dxa"/>
          </w:tcPr>
          <w:p w:rsidR="004F3550" w:rsidRPr="008F2EB6" w:rsidRDefault="004F3550" w:rsidP="00882370">
            <w:pPr>
              <w:spacing w:after="0" w:line="240" w:lineRule="auto"/>
              <w:jc w:val="right"/>
              <w:rPr>
                <w:rFonts w:ascii="Times New Roman" w:eastAsia="Calibri" w:hAnsi="Times New Roman" w:cs="Times New Roman"/>
                <w:bCs/>
                <w:sz w:val="20"/>
                <w:szCs w:val="20"/>
              </w:rPr>
            </w:pPr>
          </w:p>
        </w:tc>
      </w:tr>
      <w:tr w:rsidR="00927F90" w:rsidRPr="00607022" w:rsidTr="00361109">
        <w:trPr>
          <w:cantSplit/>
          <w:trHeight w:hRule="exact" w:val="284"/>
        </w:trPr>
        <w:tc>
          <w:tcPr>
            <w:tcW w:w="5637" w:type="dxa"/>
            <w:vAlign w:val="center"/>
          </w:tcPr>
          <w:p w:rsidR="00927F90" w:rsidRPr="00607022" w:rsidRDefault="00927F90" w:rsidP="00361109">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Property, plant and equipment</w:t>
            </w:r>
          </w:p>
        </w:tc>
        <w:tc>
          <w:tcPr>
            <w:tcW w:w="1843" w:type="dxa"/>
            <w:vAlign w:val="center"/>
          </w:tcPr>
          <w:p w:rsidR="00927F90" w:rsidRPr="00607022" w:rsidRDefault="00927F90" w:rsidP="00361109">
            <w:pPr>
              <w:tabs>
                <w:tab w:val="right" w:pos="1485"/>
              </w:tabs>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609,216</w:t>
            </w:r>
          </w:p>
        </w:tc>
        <w:tc>
          <w:tcPr>
            <w:tcW w:w="284" w:type="dxa"/>
          </w:tcPr>
          <w:p w:rsidR="00927F90" w:rsidRPr="00607022" w:rsidRDefault="00927F90" w:rsidP="00361109">
            <w:pPr>
              <w:spacing w:after="0" w:line="240" w:lineRule="auto"/>
              <w:jc w:val="right"/>
              <w:rPr>
                <w:rFonts w:ascii="Times New Roman" w:eastAsia="Calibri" w:hAnsi="Times New Roman" w:cs="Times New Roman"/>
                <w:bCs/>
                <w:sz w:val="20"/>
                <w:szCs w:val="20"/>
              </w:rPr>
            </w:pPr>
          </w:p>
        </w:tc>
        <w:tc>
          <w:tcPr>
            <w:tcW w:w="1842" w:type="dxa"/>
            <w:vAlign w:val="center"/>
          </w:tcPr>
          <w:p w:rsidR="00927F90" w:rsidRPr="008F2EB6" w:rsidRDefault="00927F90" w:rsidP="00361109">
            <w:pPr>
              <w:tabs>
                <w:tab w:val="right" w:pos="1485"/>
              </w:tabs>
              <w:spacing w:after="0" w:line="240" w:lineRule="auto"/>
              <w:jc w:val="right"/>
              <w:rPr>
                <w:rFonts w:ascii="Times New Roman" w:eastAsia="Calibri" w:hAnsi="Times New Roman" w:cs="Times New Roman"/>
                <w:bCs/>
                <w:sz w:val="20"/>
                <w:szCs w:val="20"/>
              </w:rPr>
            </w:pPr>
            <w:r w:rsidRPr="008F2EB6">
              <w:rPr>
                <w:rFonts w:ascii="Times New Roman" w:eastAsia="Calibri" w:hAnsi="Times New Roman" w:cs="Times New Roman"/>
                <w:bCs/>
                <w:sz w:val="20"/>
                <w:szCs w:val="20"/>
              </w:rPr>
              <w:t>1,110,747</w:t>
            </w:r>
          </w:p>
        </w:tc>
      </w:tr>
      <w:tr w:rsidR="00927F90" w:rsidRPr="00607022" w:rsidTr="00361109">
        <w:trPr>
          <w:cantSplit/>
          <w:trHeight w:hRule="exact" w:val="284"/>
        </w:trPr>
        <w:tc>
          <w:tcPr>
            <w:tcW w:w="5637" w:type="dxa"/>
            <w:vAlign w:val="center"/>
          </w:tcPr>
          <w:p w:rsidR="00927F90" w:rsidRPr="00607022" w:rsidRDefault="00927F90" w:rsidP="00361109">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Investment in artwork</w:t>
            </w:r>
          </w:p>
        </w:tc>
        <w:tc>
          <w:tcPr>
            <w:tcW w:w="1843" w:type="dxa"/>
            <w:vAlign w:val="center"/>
          </w:tcPr>
          <w:p w:rsidR="00927F90" w:rsidRPr="00607022" w:rsidRDefault="00927F90" w:rsidP="00361109">
            <w:pPr>
              <w:tabs>
                <w:tab w:val="right" w:pos="1485"/>
              </w:tabs>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500,000</w:t>
            </w:r>
          </w:p>
        </w:tc>
        <w:tc>
          <w:tcPr>
            <w:tcW w:w="284" w:type="dxa"/>
          </w:tcPr>
          <w:p w:rsidR="00927F90" w:rsidRPr="00607022" w:rsidRDefault="00927F90" w:rsidP="00361109">
            <w:pPr>
              <w:spacing w:after="0" w:line="240" w:lineRule="auto"/>
              <w:jc w:val="right"/>
              <w:rPr>
                <w:rFonts w:ascii="Times New Roman" w:eastAsia="Calibri" w:hAnsi="Times New Roman" w:cs="Times New Roman"/>
                <w:bCs/>
                <w:sz w:val="20"/>
                <w:szCs w:val="20"/>
              </w:rPr>
            </w:pPr>
          </w:p>
        </w:tc>
        <w:tc>
          <w:tcPr>
            <w:tcW w:w="1842" w:type="dxa"/>
            <w:vAlign w:val="center"/>
          </w:tcPr>
          <w:p w:rsidR="00927F90" w:rsidRPr="008F2EB6" w:rsidRDefault="00927F90" w:rsidP="00361109">
            <w:pPr>
              <w:tabs>
                <w:tab w:val="right" w:pos="1485"/>
              </w:tabs>
              <w:spacing w:after="0" w:line="240" w:lineRule="auto"/>
              <w:jc w:val="right"/>
              <w:rPr>
                <w:rFonts w:ascii="Times New Roman" w:eastAsia="Calibri" w:hAnsi="Times New Roman" w:cs="Times New Roman"/>
                <w:bCs/>
                <w:sz w:val="20"/>
                <w:szCs w:val="20"/>
              </w:rPr>
            </w:pPr>
            <w:r w:rsidRPr="008F2EB6">
              <w:rPr>
                <w:rFonts w:ascii="Times New Roman" w:eastAsia="Calibri" w:hAnsi="Times New Roman" w:cs="Times New Roman"/>
                <w:bCs/>
                <w:sz w:val="20"/>
                <w:szCs w:val="20"/>
              </w:rPr>
              <w:t>-</w:t>
            </w:r>
          </w:p>
        </w:tc>
      </w:tr>
      <w:tr w:rsidR="00607022" w:rsidRPr="00607022" w:rsidTr="00361109">
        <w:trPr>
          <w:cantSplit/>
          <w:trHeight w:hRule="exact" w:val="284"/>
        </w:trPr>
        <w:tc>
          <w:tcPr>
            <w:tcW w:w="5637" w:type="dxa"/>
            <w:vAlign w:val="center"/>
          </w:tcPr>
          <w:p w:rsidR="00607022" w:rsidRPr="00607022" w:rsidRDefault="00927F90" w:rsidP="00607022">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Intangible asset</w:t>
            </w:r>
          </w:p>
        </w:tc>
        <w:tc>
          <w:tcPr>
            <w:tcW w:w="1843" w:type="dxa"/>
            <w:vAlign w:val="center"/>
          </w:tcPr>
          <w:p w:rsidR="00607022" w:rsidRPr="00607022" w:rsidRDefault="00927F90" w:rsidP="00607022">
            <w:pPr>
              <w:tabs>
                <w:tab w:val="right" w:pos="1485"/>
              </w:tabs>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91,666</w:t>
            </w:r>
          </w:p>
        </w:tc>
        <w:tc>
          <w:tcPr>
            <w:tcW w:w="284" w:type="dxa"/>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vAlign w:val="center"/>
          </w:tcPr>
          <w:p w:rsidR="00607022" w:rsidRPr="008F2EB6" w:rsidRDefault="00927F90" w:rsidP="00607022">
            <w:pPr>
              <w:tabs>
                <w:tab w:val="right" w:pos="1485"/>
              </w:tabs>
              <w:spacing w:after="0" w:line="240" w:lineRule="auto"/>
              <w:jc w:val="right"/>
              <w:rPr>
                <w:rFonts w:ascii="Times New Roman" w:eastAsia="Calibri" w:hAnsi="Times New Roman" w:cs="Times New Roman"/>
                <w:bCs/>
                <w:sz w:val="20"/>
                <w:szCs w:val="20"/>
              </w:rPr>
            </w:pPr>
            <w:r w:rsidRPr="008F2EB6">
              <w:rPr>
                <w:rFonts w:ascii="Times New Roman" w:eastAsia="Calibri" w:hAnsi="Times New Roman" w:cs="Times New Roman"/>
                <w:bCs/>
                <w:sz w:val="20"/>
                <w:szCs w:val="20"/>
              </w:rPr>
              <w:t>-</w:t>
            </w:r>
          </w:p>
        </w:tc>
      </w:tr>
      <w:tr w:rsidR="00607022" w:rsidRPr="00607022" w:rsidTr="00361109">
        <w:trPr>
          <w:cantSplit/>
          <w:trHeight w:hRule="exact" w:val="284"/>
        </w:trPr>
        <w:tc>
          <w:tcPr>
            <w:tcW w:w="5637" w:type="dxa"/>
          </w:tcPr>
          <w:p w:rsidR="00607022" w:rsidRPr="00607022" w:rsidRDefault="00607022" w:rsidP="00607022">
            <w:pPr>
              <w:spacing w:after="0" w:line="240" w:lineRule="auto"/>
              <w:rPr>
                <w:rFonts w:ascii="Times New Roman" w:eastAsia="Calibri" w:hAnsi="Times New Roman" w:cs="Times New Roman"/>
                <w:bCs/>
                <w:sz w:val="20"/>
                <w:szCs w:val="20"/>
              </w:rPr>
            </w:pPr>
          </w:p>
        </w:tc>
        <w:tc>
          <w:tcPr>
            <w:tcW w:w="1843" w:type="dxa"/>
            <w:tcBorders>
              <w:top w:val="single" w:sz="4" w:space="0" w:color="000000"/>
              <w:bottom w:val="single" w:sz="4" w:space="0" w:color="000000"/>
            </w:tcBorders>
            <w:vAlign w:val="center"/>
          </w:tcPr>
          <w:p w:rsidR="00607022" w:rsidRPr="00607022" w:rsidRDefault="00927F90" w:rsidP="00607022">
            <w:pPr>
              <w:tabs>
                <w:tab w:val="right" w:pos="1627"/>
              </w:tabs>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1,200,882</w:t>
            </w:r>
          </w:p>
        </w:tc>
        <w:tc>
          <w:tcPr>
            <w:tcW w:w="284" w:type="dxa"/>
            <w:vAlign w:val="center"/>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tcBorders>
              <w:top w:val="single" w:sz="4" w:space="0" w:color="000000"/>
              <w:bottom w:val="single" w:sz="4" w:space="0" w:color="000000"/>
            </w:tcBorders>
            <w:vAlign w:val="center"/>
          </w:tcPr>
          <w:p w:rsidR="00607022" w:rsidRPr="008F2EB6" w:rsidRDefault="00607022" w:rsidP="00607022">
            <w:pPr>
              <w:tabs>
                <w:tab w:val="right" w:pos="1627"/>
              </w:tabs>
              <w:spacing w:after="0" w:line="240" w:lineRule="auto"/>
              <w:jc w:val="right"/>
              <w:rPr>
                <w:rFonts w:ascii="Times New Roman" w:eastAsia="Calibri" w:hAnsi="Times New Roman" w:cs="Times New Roman"/>
                <w:bCs/>
                <w:sz w:val="20"/>
                <w:szCs w:val="20"/>
              </w:rPr>
            </w:pPr>
            <w:r w:rsidRPr="008F2EB6">
              <w:rPr>
                <w:rFonts w:ascii="Times New Roman" w:eastAsia="Calibri" w:hAnsi="Times New Roman" w:cs="Times New Roman"/>
                <w:bCs/>
                <w:sz w:val="20"/>
                <w:szCs w:val="20"/>
              </w:rPr>
              <w:t>1,110,747</w:t>
            </w:r>
          </w:p>
        </w:tc>
      </w:tr>
      <w:tr w:rsidR="00607022" w:rsidRPr="00607022" w:rsidTr="00361109">
        <w:trPr>
          <w:cantSplit/>
          <w:trHeight w:hRule="exact" w:val="284"/>
        </w:trPr>
        <w:tc>
          <w:tcPr>
            <w:tcW w:w="5637" w:type="dxa"/>
            <w:vAlign w:val="bottom"/>
          </w:tcPr>
          <w:p w:rsidR="00607022" w:rsidRPr="00607022" w:rsidRDefault="00607022" w:rsidP="00607022">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Current assets</w:t>
            </w:r>
          </w:p>
        </w:tc>
        <w:tc>
          <w:tcPr>
            <w:tcW w:w="1843" w:type="dxa"/>
            <w:tcBorders>
              <w:top w:val="single" w:sz="4" w:space="0" w:color="000000"/>
            </w:tcBorders>
          </w:tcPr>
          <w:p w:rsidR="00607022" w:rsidRPr="00607022" w:rsidRDefault="00607022" w:rsidP="00607022">
            <w:pPr>
              <w:spacing w:after="0" w:line="240" w:lineRule="auto"/>
              <w:jc w:val="right"/>
              <w:rPr>
                <w:rFonts w:ascii="Times New Roman" w:eastAsia="Calibri" w:hAnsi="Times New Roman" w:cs="Times New Roman"/>
                <w:b/>
                <w:bCs/>
                <w:sz w:val="20"/>
                <w:szCs w:val="20"/>
              </w:rPr>
            </w:pPr>
          </w:p>
        </w:tc>
        <w:tc>
          <w:tcPr>
            <w:tcW w:w="284" w:type="dxa"/>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tcBorders>
              <w:top w:val="single" w:sz="4" w:space="0" w:color="000000"/>
            </w:tcBorders>
          </w:tcPr>
          <w:p w:rsidR="00607022" w:rsidRPr="008F2EB6" w:rsidRDefault="00607022" w:rsidP="00607022">
            <w:pPr>
              <w:spacing w:after="0" w:line="240" w:lineRule="auto"/>
              <w:jc w:val="right"/>
              <w:rPr>
                <w:rFonts w:ascii="Times New Roman" w:eastAsia="Calibri" w:hAnsi="Times New Roman" w:cs="Times New Roman"/>
                <w:bCs/>
                <w:sz w:val="20"/>
                <w:szCs w:val="20"/>
              </w:rPr>
            </w:pPr>
          </w:p>
        </w:tc>
      </w:tr>
      <w:tr w:rsidR="00607022" w:rsidRPr="00607022" w:rsidTr="004F3550">
        <w:trPr>
          <w:cantSplit/>
          <w:trHeight w:hRule="exact" w:val="284"/>
        </w:trPr>
        <w:tc>
          <w:tcPr>
            <w:tcW w:w="5637" w:type="dxa"/>
            <w:vAlign w:val="center"/>
          </w:tcPr>
          <w:p w:rsidR="00607022" w:rsidRPr="00607022" w:rsidRDefault="00607022" w:rsidP="00607022">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Trade and other receivables</w:t>
            </w:r>
          </w:p>
        </w:tc>
        <w:tc>
          <w:tcPr>
            <w:tcW w:w="1843" w:type="dxa"/>
          </w:tcPr>
          <w:p w:rsidR="00607022" w:rsidRPr="00607022" w:rsidRDefault="00927F90" w:rsidP="00607022">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364,710</w:t>
            </w:r>
          </w:p>
        </w:tc>
        <w:tc>
          <w:tcPr>
            <w:tcW w:w="284" w:type="dxa"/>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tcPr>
          <w:p w:rsidR="00607022" w:rsidRPr="008F2EB6" w:rsidRDefault="00607022" w:rsidP="00607022">
            <w:pPr>
              <w:spacing w:after="0" w:line="240" w:lineRule="auto"/>
              <w:jc w:val="right"/>
              <w:rPr>
                <w:rFonts w:ascii="Times New Roman" w:eastAsia="Calibri" w:hAnsi="Times New Roman" w:cs="Times New Roman"/>
                <w:bCs/>
                <w:sz w:val="20"/>
                <w:szCs w:val="20"/>
              </w:rPr>
            </w:pPr>
            <w:r w:rsidRPr="008F2EB6">
              <w:rPr>
                <w:rFonts w:ascii="Times New Roman" w:eastAsia="Calibri" w:hAnsi="Times New Roman" w:cs="Times New Roman"/>
                <w:bCs/>
                <w:sz w:val="20"/>
                <w:szCs w:val="20"/>
              </w:rPr>
              <w:t>1,806,755</w:t>
            </w:r>
          </w:p>
        </w:tc>
      </w:tr>
      <w:tr w:rsidR="00607022" w:rsidRPr="00607022" w:rsidTr="004F3550">
        <w:trPr>
          <w:cantSplit/>
          <w:trHeight w:hRule="exact" w:val="284"/>
        </w:trPr>
        <w:tc>
          <w:tcPr>
            <w:tcW w:w="5637" w:type="dxa"/>
            <w:vAlign w:val="center"/>
          </w:tcPr>
          <w:p w:rsidR="00607022" w:rsidRPr="00607022" w:rsidRDefault="00607022" w:rsidP="00607022">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Investments held at fair v</w:t>
            </w:r>
            <w:r w:rsidR="00361109">
              <w:rPr>
                <w:rFonts w:ascii="Times New Roman" w:eastAsia="Calibri" w:hAnsi="Times New Roman" w:cs="Times New Roman"/>
                <w:bCs/>
                <w:sz w:val="20"/>
                <w:szCs w:val="20"/>
              </w:rPr>
              <w:t>alue through</w:t>
            </w:r>
            <w:r w:rsidRPr="00607022">
              <w:rPr>
                <w:rFonts w:ascii="Times New Roman" w:eastAsia="Calibri" w:hAnsi="Times New Roman" w:cs="Times New Roman"/>
                <w:bCs/>
                <w:sz w:val="20"/>
                <w:szCs w:val="20"/>
              </w:rPr>
              <w:t xml:space="preserve"> profit or loss</w:t>
            </w:r>
          </w:p>
        </w:tc>
        <w:tc>
          <w:tcPr>
            <w:tcW w:w="1843" w:type="dxa"/>
          </w:tcPr>
          <w:p w:rsidR="00607022" w:rsidRPr="00607022" w:rsidRDefault="00927F90" w:rsidP="00607022">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66,612,318</w:t>
            </w:r>
          </w:p>
        </w:tc>
        <w:tc>
          <w:tcPr>
            <w:tcW w:w="284" w:type="dxa"/>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tcPr>
          <w:p w:rsidR="00607022" w:rsidRPr="008F2EB6" w:rsidRDefault="00607022" w:rsidP="00607022">
            <w:pPr>
              <w:spacing w:after="0" w:line="240" w:lineRule="auto"/>
              <w:jc w:val="right"/>
              <w:rPr>
                <w:rFonts w:ascii="Times New Roman" w:eastAsia="Calibri" w:hAnsi="Times New Roman" w:cs="Times New Roman"/>
                <w:bCs/>
                <w:sz w:val="20"/>
                <w:szCs w:val="20"/>
              </w:rPr>
            </w:pPr>
            <w:r w:rsidRPr="008F2EB6">
              <w:rPr>
                <w:rFonts w:ascii="Times New Roman" w:eastAsia="Calibri" w:hAnsi="Times New Roman" w:cs="Times New Roman"/>
                <w:bCs/>
                <w:sz w:val="20"/>
                <w:szCs w:val="20"/>
              </w:rPr>
              <w:t>70,453,855</w:t>
            </w:r>
          </w:p>
        </w:tc>
      </w:tr>
      <w:tr w:rsidR="00607022" w:rsidRPr="00607022" w:rsidTr="00361109">
        <w:trPr>
          <w:cantSplit/>
          <w:trHeight w:hRule="exact" w:val="284"/>
        </w:trPr>
        <w:tc>
          <w:tcPr>
            <w:tcW w:w="5637" w:type="dxa"/>
            <w:vAlign w:val="bottom"/>
          </w:tcPr>
          <w:p w:rsidR="00607022" w:rsidRPr="00607022" w:rsidRDefault="00607022" w:rsidP="00607022">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Cash and cash equivalents</w:t>
            </w:r>
          </w:p>
        </w:tc>
        <w:tc>
          <w:tcPr>
            <w:tcW w:w="1843" w:type="dxa"/>
            <w:tcBorders>
              <w:bottom w:val="single" w:sz="4" w:space="0" w:color="000000"/>
            </w:tcBorders>
            <w:vAlign w:val="bottom"/>
          </w:tcPr>
          <w:p w:rsidR="00607022" w:rsidRPr="00607022" w:rsidRDefault="00927F90" w:rsidP="00607022">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693,943</w:t>
            </w:r>
          </w:p>
        </w:tc>
        <w:tc>
          <w:tcPr>
            <w:tcW w:w="284" w:type="dxa"/>
            <w:vAlign w:val="bottom"/>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tcBorders>
              <w:bottom w:val="single" w:sz="4" w:space="0" w:color="000000"/>
            </w:tcBorders>
            <w:vAlign w:val="bottom"/>
          </w:tcPr>
          <w:p w:rsidR="00607022" w:rsidRPr="008F2EB6" w:rsidRDefault="00607022" w:rsidP="00607022">
            <w:pPr>
              <w:spacing w:after="0" w:line="240" w:lineRule="auto"/>
              <w:jc w:val="right"/>
              <w:rPr>
                <w:rFonts w:ascii="Times New Roman" w:eastAsia="Calibri" w:hAnsi="Times New Roman" w:cs="Times New Roman"/>
                <w:bCs/>
                <w:sz w:val="20"/>
                <w:szCs w:val="20"/>
              </w:rPr>
            </w:pPr>
            <w:r w:rsidRPr="008F2EB6">
              <w:rPr>
                <w:rFonts w:ascii="Times New Roman" w:eastAsia="Calibri" w:hAnsi="Times New Roman" w:cs="Times New Roman"/>
                <w:bCs/>
                <w:sz w:val="20"/>
                <w:szCs w:val="20"/>
              </w:rPr>
              <w:t>6,350,739</w:t>
            </w:r>
          </w:p>
        </w:tc>
      </w:tr>
      <w:tr w:rsidR="00607022" w:rsidRPr="00607022" w:rsidTr="00361109">
        <w:trPr>
          <w:cantSplit/>
          <w:trHeight w:hRule="exact" w:val="555"/>
        </w:trPr>
        <w:tc>
          <w:tcPr>
            <w:tcW w:w="5637" w:type="dxa"/>
          </w:tcPr>
          <w:p w:rsidR="00607022" w:rsidRPr="00607022" w:rsidRDefault="00607022" w:rsidP="00607022">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Total current assets</w:t>
            </w:r>
          </w:p>
        </w:tc>
        <w:tc>
          <w:tcPr>
            <w:tcW w:w="1843" w:type="dxa"/>
            <w:tcBorders>
              <w:top w:val="single" w:sz="4" w:space="0" w:color="000000"/>
            </w:tcBorders>
          </w:tcPr>
          <w:p w:rsidR="00607022" w:rsidRPr="00607022" w:rsidRDefault="00927F90" w:rsidP="00607022">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6</w:t>
            </w:r>
            <w:r w:rsidR="003B1479">
              <w:rPr>
                <w:rFonts w:ascii="Times New Roman" w:eastAsia="Calibri" w:hAnsi="Times New Roman" w:cs="Times New Roman"/>
                <w:b/>
                <w:bCs/>
                <w:sz w:val="20"/>
                <w:szCs w:val="20"/>
              </w:rPr>
              <w:t>7</w:t>
            </w:r>
            <w:r>
              <w:rPr>
                <w:rFonts w:ascii="Times New Roman" w:eastAsia="Calibri" w:hAnsi="Times New Roman" w:cs="Times New Roman"/>
                <w:b/>
                <w:bCs/>
                <w:sz w:val="20"/>
                <w:szCs w:val="20"/>
              </w:rPr>
              <w:t>,670,971</w:t>
            </w:r>
          </w:p>
        </w:tc>
        <w:tc>
          <w:tcPr>
            <w:tcW w:w="284" w:type="dxa"/>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tcBorders>
              <w:top w:val="single" w:sz="4" w:space="0" w:color="000000"/>
            </w:tcBorders>
          </w:tcPr>
          <w:p w:rsidR="00607022" w:rsidRPr="008F2EB6" w:rsidRDefault="00607022" w:rsidP="00607022">
            <w:pPr>
              <w:spacing w:after="0" w:line="240" w:lineRule="auto"/>
              <w:jc w:val="right"/>
              <w:rPr>
                <w:rFonts w:ascii="Times New Roman" w:eastAsia="Calibri" w:hAnsi="Times New Roman" w:cs="Times New Roman"/>
                <w:bCs/>
                <w:sz w:val="20"/>
                <w:szCs w:val="20"/>
              </w:rPr>
            </w:pPr>
            <w:r w:rsidRPr="008F2EB6">
              <w:rPr>
                <w:rFonts w:ascii="Times New Roman" w:eastAsia="Calibri" w:hAnsi="Times New Roman" w:cs="Times New Roman"/>
                <w:bCs/>
                <w:sz w:val="20"/>
                <w:szCs w:val="20"/>
              </w:rPr>
              <w:t>78,611,349</w:t>
            </w:r>
          </w:p>
        </w:tc>
      </w:tr>
      <w:tr w:rsidR="00607022" w:rsidRPr="00607022" w:rsidTr="004F3550">
        <w:trPr>
          <w:cantSplit/>
          <w:trHeight w:hRule="exact" w:val="284"/>
        </w:trPr>
        <w:tc>
          <w:tcPr>
            <w:tcW w:w="5637" w:type="dxa"/>
            <w:vAlign w:val="bottom"/>
          </w:tcPr>
          <w:p w:rsidR="00607022" w:rsidRPr="00607022" w:rsidRDefault="00607022" w:rsidP="00607022">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Current liabilities</w:t>
            </w:r>
          </w:p>
        </w:tc>
        <w:tc>
          <w:tcPr>
            <w:tcW w:w="1843" w:type="dxa"/>
            <w:vAlign w:val="center"/>
          </w:tcPr>
          <w:p w:rsidR="00607022" w:rsidRPr="00607022" w:rsidRDefault="00607022" w:rsidP="00607022">
            <w:pPr>
              <w:spacing w:after="0" w:line="240" w:lineRule="auto"/>
              <w:jc w:val="right"/>
              <w:rPr>
                <w:rFonts w:ascii="Times New Roman" w:eastAsia="Calibri" w:hAnsi="Times New Roman" w:cs="Times New Roman"/>
                <w:b/>
                <w:bCs/>
                <w:sz w:val="20"/>
                <w:szCs w:val="20"/>
              </w:rPr>
            </w:pPr>
          </w:p>
        </w:tc>
        <w:tc>
          <w:tcPr>
            <w:tcW w:w="284" w:type="dxa"/>
            <w:vAlign w:val="center"/>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vAlign w:val="center"/>
          </w:tcPr>
          <w:p w:rsidR="00607022" w:rsidRPr="008F2EB6" w:rsidRDefault="00607022" w:rsidP="00607022">
            <w:pPr>
              <w:spacing w:after="0" w:line="240" w:lineRule="auto"/>
              <w:jc w:val="right"/>
              <w:rPr>
                <w:rFonts w:ascii="Times New Roman" w:eastAsia="Calibri" w:hAnsi="Times New Roman" w:cs="Times New Roman"/>
                <w:bCs/>
                <w:sz w:val="20"/>
                <w:szCs w:val="20"/>
              </w:rPr>
            </w:pPr>
          </w:p>
        </w:tc>
      </w:tr>
      <w:tr w:rsidR="00607022" w:rsidRPr="00607022" w:rsidTr="004F3550">
        <w:trPr>
          <w:cantSplit/>
          <w:trHeight w:hRule="exact" w:val="284"/>
        </w:trPr>
        <w:tc>
          <w:tcPr>
            <w:tcW w:w="5637" w:type="dxa"/>
            <w:vAlign w:val="center"/>
          </w:tcPr>
          <w:p w:rsidR="00607022" w:rsidRPr="00607022" w:rsidRDefault="00607022" w:rsidP="00607022">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Borrowings</w:t>
            </w:r>
          </w:p>
        </w:tc>
        <w:tc>
          <w:tcPr>
            <w:tcW w:w="1843" w:type="dxa"/>
          </w:tcPr>
          <w:p w:rsidR="00607022" w:rsidRPr="00607022" w:rsidRDefault="00927F90" w:rsidP="00607022">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w:t>
            </w:r>
          </w:p>
        </w:tc>
        <w:tc>
          <w:tcPr>
            <w:tcW w:w="284" w:type="dxa"/>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tcPr>
          <w:p w:rsidR="00607022" w:rsidRPr="008F2EB6" w:rsidRDefault="00607022" w:rsidP="00607022">
            <w:pPr>
              <w:spacing w:after="0" w:line="240" w:lineRule="auto"/>
              <w:jc w:val="right"/>
              <w:rPr>
                <w:rFonts w:ascii="Times New Roman" w:eastAsia="Calibri" w:hAnsi="Times New Roman" w:cs="Times New Roman"/>
                <w:bCs/>
                <w:sz w:val="20"/>
                <w:szCs w:val="20"/>
              </w:rPr>
            </w:pPr>
            <w:r w:rsidRPr="008F2EB6">
              <w:rPr>
                <w:rFonts w:ascii="Times New Roman" w:eastAsia="Calibri" w:hAnsi="Times New Roman" w:cs="Times New Roman"/>
                <w:bCs/>
                <w:sz w:val="20"/>
                <w:szCs w:val="20"/>
              </w:rPr>
              <w:t>5,107,691</w:t>
            </w:r>
          </w:p>
        </w:tc>
      </w:tr>
      <w:tr w:rsidR="00607022" w:rsidRPr="00607022" w:rsidTr="004F3550">
        <w:trPr>
          <w:cantSplit/>
          <w:trHeight w:hRule="exact" w:val="284"/>
        </w:trPr>
        <w:tc>
          <w:tcPr>
            <w:tcW w:w="5637" w:type="dxa"/>
            <w:vAlign w:val="center"/>
          </w:tcPr>
          <w:p w:rsidR="00607022" w:rsidRPr="00607022" w:rsidRDefault="00607022" w:rsidP="00607022">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Trade and other payables</w:t>
            </w:r>
          </w:p>
        </w:tc>
        <w:tc>
          <w:tcPr>
            <w:tcW w:w="1843" w:type="dxa"/>
          </w:tcPr>
          <w:p w:rsidR="00607022" w:rsidRPr="00607022" w:rsidRDefault="00927F90" w:rsidP="00607022">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496,886</w:t>
            </w:r>
          </w:p>
        </w:tc>
        <w:tc>
          <w:tcPr>
            <w:tcW w:w="284" w:type="dxa"/>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tcPr>
          <w:p w:rsidR="00607022" w:rsidRPr="008F2EB6" w:rsidRDefault="00607022" w:rsidP="00607022">
            <w:pPr>
              <w:spacing w:after="0" w:line="240" w:lineRule="auto"/>
              <w:jc w:val="right"/>
              <w:rPr>
                <w:rFonts w:ascii="Times New Roman" w:eastAsia="Calibri" w:hAnsi="Times New Roman" w:cs="Times New Roman"/>
                <w:bCs/>
                <w:sz w:val="20"/>
                <w:szCs w:val="20"/>
              </w:rPr>
            </w:pPr>
            <w:r w:rsidRPr="008F2EB6">
              <w:rPr>
                <w:rFonts w:ascii="Times New Roman" w:eastAsia="Calibri" w:hAnsi="Times New Roman" w:cs="Times New Roman"/>
                <w:bCs/>
                <w:sz w:val="20"/>
                <w:szCs w:val="20"/>
              </w:rPr>
              <w:t>559,872</w:t>
            </w:r>
          </w:p>
        </w:tc>
      </w:tr>
      <w:tr w:rsidR="00607022" w:rsidRPr="00607022" w:rsidTr="00D825B8">
        <w:trPr>
          <w:cantSplit/>
          <w:trHeight w:hRule="exact" w:val="284"/>
        </w:trPr>
        <w:tc>
          <w:tcPr>
            <w:tcW w:w="5637" w:type="dxa"/>
            <w:vAlign w:val="center"/>
          </w:tcPr>
          <w:p w:rsidR="00607022" w:rsidRPr="00607022" w:rsidRDefault="00607022" w:rsidP="00607022">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Financial liabilities at fair value</w:t>
            </w:r>
            <w:r w:rsidR="00361109">
              <w:rPr>
                <w:rFonts w:ascii="Times New Roman" w:eastAsia="Calibri" w:hAnsi="Times New Roman" w:cs="Times New Roman"/>
                <w:bCs/>
                <w:sz w:val="20"/>
                <w:szCs w:val="20"/>
              </w:rPr>
              <w:t xml:space="preserve"> through profit or loss</w:t>
            </w:r>
          </w:p>
        </w:tc>
        <w:tc>
          <w:tcPr>
            <w:tcW w:w="1843" w:type="dxa"/>
          </w:tcPr>
          <w:p w:rsidR="00607022" w:rsidRPr="00607022" w:rsidRDefault="00927F90" w:rsidP="00607022">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4,242,531</w:t>
            </w:r>
          </w:p>
        </w:tc>
        <w:tc>
          <w:tcPr>
            <w:tcW w:w="284" w:type="dxa"/>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tcPr>
          <w:p w:rsidR="00607022" w:rsidRPr="008F2EB6" w:rsidRDefault="00607022" w:rsidP="00607022">
            <w:pPr>
              <w:spacing w:after="0" w:line="240" w:lineRule="auto"/>
              <w:jc w:val="right"/>
              <w:rPr>
                <w:rFonts w:ascii="Times New Roman" w:eastAsia="Calibri" w:hAnsi="Times New Roman" w:cs="Times New Roman"/>
                <w:bCs/>
                <w:sz w:val="20"/>
                <w:szCs w:val="20"/>
              </w:rPr>
            </w:pPr>
            <w:r w:rsidRPr="008F2EB6">
              <w:rPr>
                <w:rFonts w:ascii="Times New Roman" w:eastAsia="Calibri" w:hAnsi="Times New Roman" w:cs="Times New Roman"/>
                <w:bCs/>
                <w:sz w:val="20"/>
                <w:szCs w:val="20"/>
              </w:rPr>
              <w:t>3,409,627</w:t>
            </w:r>
          </w:p>
        </w:tc>
      </w:tr>
      <w:tr w:rsidR="00607022" w:rsidRPr="00607022" w:rsidTr="004F3550">
        <w:trPr>
          <w:cantSplit/>
          <w:trHeight w:hRule="exact" w:val="284"/>
        </w:trPr>
        <w:tc>
          <w:tcPr>
            <w:tcW w:w="5637" w:type="dxa"/>
            <w:vAlign w:val="center"/>
          </w:tcPr>
          <w:p w:rsidR="00607022" w:rsidRPr="00607022" w:rsidRDefault="00607022" w:rsidP="00607022">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Current tax liability</w:t>
            </w:r>
          </w:p>
        </w:tc>
        <w:tc>
          <w:tcPr>
            <w:tcW w:w="1843" w:type="dxa"/>
          </w:tcPr>
          <w:p w:rsidR="00607022" w:rsidRPr="00607022" w:rsidRDefault="00927F90" w:rsidP="00607022">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148,603</w:t>
            </w:r>
          </w:p>
        </w:tc>
        <w:tc>
          <w:tcPr>
            <w:tcW w:w="284" w:type="dxa"/>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tcPr>
          <w:p w:rsidR="00607022" w:rsidRPr="008F2EB6" w:rsidRDefault="00607022" w:rsidP="00607022">
            <w:pPr>
              <w:spacing w:after="0" w:line="240" w:lineRule="auto"/>
              <w:jc w:val="right"/>
              <w:rPr>
                <w:rFonts w:ascii="Times New Roman" w:eastAsia="Calibri" w:hAnsi="Times New Roman" w:cs="Times New Roman"/>
                <w:bCs/>
                <w:sz w:val="20"/>
                <w:szCs w:val="20"/>
              </w:rPr>
            </w:pPr>
            <w:r w:rsidRPr="008F2EB6">
              <w:rPr>
                <w:rFonts w:ascii="Times New Roman" w:eastAsia="Calibri" w:hAnsi="Times New Roman" w:cs="Times New Roman"/>
                <w:bCs/>
                <w:sz w:val="20"/>
                <w:szCs w:val="20"/>
              </w:rPr>
              <w:t>305,642</w:t>
            </w:r>
          </w:p>
        </w:tc>
      </w:tr>
      <w:tr w:rsidR="00607022" w:rsidRPr="00607022" w:rsidTr="00361109">
        <w:trPr>
          <w:cantSplit/>
          <w:trHeight w:hRule="exact" w:val="283"/>
        </w:trPr>
        <w:tc>
          <w:tcPr>
            <w:tcW w:w="5637" w:type="dxa"/>
            <w:vAlign w:val="center"/>
          </w:tcPr>
          <w:p w:rsidR="00607022" w:rsidRPr="00607022" w:rsidRDefault="00607022" w:rsidP="00607022">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Total current liabilities</w:t>
            </w:r>
          </w:p>
        </w:tc>
        <w:tc>
          <w:tcPr>
            <w:tcW w:w="1843" w:type="dxa"/>
            <w:tcBorders>
              <w:top w:val="single" w:sz="4" w:space="0" w:color="000000"/>
              <w:bottom w:val="single" w:sz="4" w:space="0" w:color="000000"/>
            </w:tcBorders>
            <w:vAlign w:val="center"/>
          </w:tcPr>
          <w:p w:rsidR="00607022" w:rsidRPr="00607022" w:rsidRDefault="00927F90" w:rsidP="00607022">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4,888,020</w:t>
            </w:r>
          </w:p>
        </w:tc>
        <w:tc>
          <w:tcPr>
            <w:tcW w:w="284" w:type="dxa"/>
            <w:vAlign w:val="center"/>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tcBorders>
              <w:top w:val="single" w:sz="4" w:space="0" w:color="000000"/>
              <w:bottom w:val="single" w:sz="4" w:space="0" w:color="000000"/>
            </w:tcBorders>
            <w:vAlign w:val="center"/>
          </w:tcPr>
          <w:p w:rsidR="00607022" w:rsidRPr="008F2EB6" w:rsidRDefault="00607022" w:rsidP="00607022">
            <w:pPr>
              <w:spacing w:after="0" w:line="240" w:lineRule="auto"/>
              <w:jc w:val="right"/>
              <w:rPr>
                <w:rFonts w:ascii="Times New Roman" w:eastAsia="Calibri" w:hAnsi="Times New Roman" w:cs="Times New Roman"/>
                <w:bCs/>
                <w:sz w:val="20"/>
                <w:szCs w:val="20"/>
              </w:rPr>
            </w:pPr>
            <w:r w:rsidRPr="008F2EB6">
              <w:rPr>
                <w:rFonts w:ascii="Times New Roman" w:eastAsia="Calibri" w:hAnsi="Times New Roman" w:cs="Times New Roman"/>
                <w:bCs/>
                <w:sz w:val="20"/>
                <w:szCs w:val="20"/>
              </w:rPr>
              <w:t>9,382,832</w:t>
            </w:r>
          </w:p>
        </w:tc>
      </w:tr>
      <w:tr w:rsidR="00607022" w:rsidRPr="00607022" w:rsidTr="00361109">
        <w:trPr>
          <w:cantSplit/>
          <w:trHeight w:hRule="exact" w:val="289"/>
        </w:trPr>
        <w:tc>
          <w:tcPr>
            <w:tcW w:w="5637" w:type="dxa"/>
            <w:vAlign w:val="center"/>
          </w:tcPr>
          <w:p w:rsidR="00607022" w:rsidRPr="00607022" w:rsidRDefault="00607022" w:rsidP="00607022">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Net current assets</w:t>
            </w:r>
          </w:p>
        </w:tc>
        <w:tc>
          <w:tcPr>
            <w:tcW w:w="1843" w:type="dxa"/>
            <w:tcBorders>
              <w:top w:val="single" w:sz="4" w:space="0" w:color="000000"/>
              <w:bottom w:val="single" w:sz="4" w:space="0" w:color="000000"/>
            </w:tcBorders>
            <w:vAlign w:val="center"/>
          </w:tcPr>
          <w:p w:rsidR="00607022" w:rsidRPr="00607022" w:rsidRDefault="00927F90" w:rsidP="00607022">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62,782,951</w:t>
            </w:r>
          </w:p>
        </w:tc>
        <w:tc>
          <w:tcPr>
            <w:tcW w:w="284" w:type="dxa"/>
            <w:vAlign w:val="center"/>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tcBorders>
              <w:top w:val="single" w:sz="4" w:space="0" w:color="000000"/>
              <w:bottom w:val="single" w:sz="4" w:space="0" w:color="000000"/>
            </w:tcBorders>
            <w:vAlign w:val="center"/>
          </w:tcPr>
          <w:p w:rsidR="00607022" w:rsidRPr="008F2EB6" w:rsidRDefault="00607022" w:rsidP="00607022">
            <w:pPr>
              <w:spacing w:after="0" w:line="240" w:lineRule="auto"/>
              <w:jc w:val="right"/>
              <w:rPr>
                <w:rFonts w:ascii="Times New Roman" w:eastAsia="Calibri" w:hAnsi="Times New Roman" w:cs="Times New Roman"/>
                <w:bCs/>
                <w:sz w:val="20"/>
                <w:szCs w:val="20"/>
              </w:rPr>
            </w:pPr>
            <w:r w:rsidRPr="008F2EB6">
              <w:rPr>
                <w:rFonts w:ascii="Times New Roman" w:eastAsia="Calibri" w:hAnsi="Times New Roman" w:cs="Times New Roman"/>
                <w:bCs/>
                <w:sz w:val="20"/>
                <w:szCs w:val="20"/>
              </w:rPr>
              <w:t>69,228,517</w:t>
            </w:r>
          </w:p>
        </w:tc>
      </w:tr>
      <w:tr w:rsidR="00607022" w:rsidRPr="00607022" w:rsidTr="00361109">
        <w:trPr>
          <w:cantSplit/>
          <w:trHeight w:hRule="exact" w:val="284"/>
        </w:trPr>
        <w:tc>
          <w:tcPr>
            <w:tcW w:w="5637" w:type="dxa"/>
            <w:vAlign w:val="bottom"/>
          </w:tcPr>
          <w:p w:rsidR="00607022" w:rsidRPr="00607022" w:rsidRDefault="00607022" w:rsidP="00607022">
            <w:pPr>
              <w:spacing w:after="0" w:line="240" w:lineRule="auto"/>
              <w:rPr>
                <w:rFonts w:ascii="Times New Roman" w:eastAsia="Calibri" w:hAnsi="Times New Roman" w:cs="Times New Roman"/>
                <w:b/>
                <w:bCs/>
                <w:sz w:val="20"/>
                <w:szCs w:val="20"/>
              </w:rPr>
            </w:pPr>
          </w:p>
        </w:tc>
        <w:tc>
          <w:tcPr>
            <w:tcW w:w="1843" w:type="dxa"/>
            <w:tcBorders>
              <w:top w:val="single" w:sz="4" w:space="0" w:color="000000"/>
            </w:tcBorders>
          </w:tcPr>
          <w:p w:rsidR="00607022" w:rsidRPr="00607022" w:rsidRDefault="00607022" w:rsidP="00607022">
            <w:pPr>
              <w:spacing w:after="0" w:line="240" w:lineRule="auto"/>
              <w:jc w:val="right"/>
              <w:rPr>
                <w:rFonts w:ascii="Times New Roman" w:eastAsia="Calibri" w:hAnsi="Times New Roman" w:cs="Times New Roman"/>
                <w:b/>
                <w:bCs/>
                <w:sz w:val="20"/>
                <w:szCs w:val="20"/>
              </w:rPr>
            </w:pPr>
          </w:p>
        </w:tc>
        <w:tc>
          <w:tcPr>
            <w:tcW w:w="284" w:type="dxa"/>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tcBorders>
              <w:top w:val="single" w:sz="4" w:space="0" w:color="000000"/>
            </w:tcBorders>
          </w:tcPr>
          <w:p w:rsidR="00607022" w:rsidRPr="008F2EB6" w:rsidRDefault="00607022" w:rsidP="00607022">
            <w:pPr>
              <w:spacing w:after="0" w:line="240" w:lineRule="auto"/>
              <w:jc w:val="right"/>
              <w:rPr>
                <w:rFonts w:ascii="Times New Roman" w:eastAsia="Calibri" w:hAnsi="Times New Roman" w:cs="Times New Roman"/>
                <w:bCs/>
                <w:sz w:val="20"/>
                <w:szCs w:val="20"/>
              </w:rPr>
            </w:pPr>
          </w:p>
        </w:tc>
      </w:tr>
      <w:tr w:rsidR="00607022" w:rsidRPr="00607022" w:rsidTr="004F3550">
        <w:trPr>
          <w:cantSplit/>
          <w:trHeight w:hRule="exact" w:val="284"/>
        </w:trPr>
        <w:tc>
          <w:tcPr>
            <w:tcW w:w="5637" w:type="dxa"/>
            <w:vAlign w:val="bottom"/>
          </w:tcPr>
          <w:p w:rsidR="00607022" w:rsidRPr="00607022" w:rsidRDefault="00607022" w:rsidP="00607022">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Non-current liabilities</w:t>
            </w:r>
          </w:p>
        </w:tc>
        <w:tc>
          <w:tcPr>
            <w:tcW w:w="1843" w:type="dxa"/>
          </w:tcPr>
          <w:p w:rsidR="00607022" w:rsidRPr="00607022" w:rsidRDefault="00607022" w:rsidP="00607022">
            <w:pPr>
              <w:spacing w:after="0" w:line="240" w:lineRule="auto"/>
              <w:jc w:val="right"/>
              <w:rPr>
                <w:rFonts w:ascii="Times New Roman" w:eastAsia="Calibri" w:hAnsi="Times New Roman" w:cs="Times New Roman"/>
                <w:b/>
                <w:bCs/>
                <w:sz w:val="20"/>
                <w:szCs w:val="20"/>
              </w:rPr>
            </w:pPr>
          </w:p>
        </w:tc>
        <w:tc>
          <w:tcPr>
            <w:tcW w:w="284" w:type="dxa"/>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tcPr>
          <w:p w:rsidR="00607022" w:rsidRPr="008F2EB6" w:rsidRDefault="00607022" w:rsidP="00607022">
            <w:pPr>
              <w:spacing w:after="0" w:line="240" w:lineRule="auto"/>
              <w:jc w:val="right"/>
              <w:rPr>
                <w:rFonts w:ascii="Times New Roman" w:eastAsia="Calibri" w:hAnsi="Times New Roman" w:cs="Times New Roman"/>
                <w:bCs/>
                <w:sz w:val="20"/>
                <w:szCs w:val="20"/>
              </w:rPr>
            </w:pPr>
          </w:p>
        </w:tc>
      </w:tr>
      <w:tr w:rsidR="00607022" w:rsidRPr="00607022" w:rsidTr="00210983">
        <w:trPr>
          <w:cantSplit/>
          <w:trHeight w:hRule="exact" w:val="284"/>
        </w:trPr>
        <w:tc>
          <w:tcPr>
            <w:tcW w:w="5637" w:type="dxa"/>
            <w:vAlign w:val="bottom"/>
          </w:tcPr>
          <w:p w:rsidR="00607022" w:rsidRPr="00607022" w:rsidRDefault="00607022" w:rsidP="00607022">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Borrowings</w:t>
            </w:r>
          </w:p>
        </w:tc>
        <w:tc>
          <w:tcPr>
            <w:tcW w:w="1843" w:type="dxa"/>
            <w:vAlign w:val="bottom"/>
          </w:tcPr>
          <w:p w:rsidR="00607022" w:rsidRPr="00607022" w:rsidRDefault="00927F90" w:rsidP="00607022">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11</w:t>
            </w:r>
            <w:r w:rsidR="00607022" w:rsidRPr="00607022">
              <w:rPr>
                <w:rFonts w:ascii="Times New Roman" w:eastAsia="Calibri" w:hAnsi="Times New Roman" w:cs="Times New Roman"/>
                <w:b/>
                <w:bCs/>
                <w:sz w:val="20"/>
                <w:szCs w:val="20"/>
              </w:rPr>
              <w:t>,000,000</w:t>
            </w:r>
          </w:p>
        </w:tc>
        <w:tc>
          <w:tcPr>
            <w:tcW w:w="284" w:type="dxa"/>
            <w:vAlign w:val="bottom"/>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vAlign w:val="bottom"/>
          </w:tcPr>
          <w:p w:rsidR="00607022" w:rsidRPr="008F2EB6" w:rsidRDefault="00607022" w:rsidP="00607022">
            <w:pPr>
              <w:spacing w:after="0" w:line="240" w:lineRule="auto"/>
              <w:jc w:val="right"/>
              <w:rPr>
                <w:rFonts w:ascii="Times New Roman" w:eastAsia="Calibri" w:hAnsi="Times New Roman" w:cs="Times New Roman"/>
                <w:bCs/>
                <w:sz w:val="20"/>
                <w:szCs w:val="20"/>
              </w:rPr>
            </w:pPr>
            <w:r w:rsidRPr="008F2EB6">
              <w:rPr>
                <w:rFonts w:ascii="Times New Roman" w:eastAsia="Calibri" w:hAnsi="Times New Roman" w:cs="Times New Roman"/>
                <w:bCs/>
                <w:sz w:val="20"/>
                <w:szCs w:val="20"/>
              </w:rPr>
              <w:t>15,000,000</w:t>
            </w:r>
          </w:p>
        </w:tc>
      </w:tr>
      <w:tr w:rsidR="00607022" w:rsidRPr="00607022" w:rsidTr="00361109">
        <w:trPr>
          <w:cantSplit/>
          <w:trHeight w:hRule="exact" w:val="284"/>
        </w:trPr>
        <w:tc>
          <w:tcPr>
            <w:tcW w:w="5637" w:type="dxa"/>
            <w:vAlign w:val="bottom"/>
          </w:tcPr>
          <w:p w:rsidR="00607022" w:rsidRPr="00607022" w:rsidRDefault="00607022" w:rsidP="00607022">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Deferred tax liabilities</w:t>
            </w:r>
          </w:p>
        </w:tc>
        <w:tc>
          <w:tcPr>
            <w:tcW w:w="1843" w:type="dxa"/>
            <w:tcBorders>
              <w:bottom w:val="single" w:sz="4" w:space="0" w:color="000000"/>
            </w:tcBorders>
            <w:vAlign w:val="bottom"/>
          </w:tcPr>
          <w:p w:rsidR="00607022" w:rsidRPr="00607022" w:rsidRDefault="00927F90" w:rsidP="00607022">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2,384,950</w:t>
            </w:r>
          </w:p>
        </w:tc>
        <w:tc>
          <w:tcPr>
            <w:tcW w:w="284" w:type="dxa"/>
            <w:vAlign w:val="bottom"/>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tcBorders>
              <w:bottom w:val="single" w:sz="4" w:space="0" w:color="000000"/>
            </w:tcBorders>
            <w:vAlign w:val="bottom"/>
          </w:tcPr>
          <w:p w:rsidR="00607022" w:rsidRPr="008F2EB6" w:rsidRDefault="00607022" w:rsidP="00607022">
            <w:pPr>
              <w:spacing w:after="0" w:line="240" w:lineRule="auto"/>
              <w:jc w:val="right"/>
              <w:rPr>
                <w:rFonts w:ascii="Times New Roman" w:eastAsia="Calibri" w:hAnsi="Times New Roman" w:cs="Times New Roman"/>
                <w:bCs/>
                <w:sz w:val="20"/>
                <w:szCs w:val="20"/>
              </w:rPr>
            </w:pPr>
            <w:r w:rsidRPr="008F2EB6">
              <w:rPr>
                <w:rFonts w:ascii="Times New Roman" w:eastAsia="Calibri" w:hAnsi="Times New Roman" w:cs="Times New Roman"/>
                <w:bCs/>
                <w:sz w:val="20"/>
                <w:szCs w:val="20"/>
              </w:rPr>
              <w:t>3,511,702</w:t>
            </w:r>
          </w:p>
        </w:tc>
      </w:tr>
      <w:tr w:rsidR="00607022" w:rsidRPr="00607022" w:rsidTr="00361109">
        <w:trPr>
          <w:cantSplit/>
          <w:trHeight w:hRule="exact" w:val="281"/>
        </w:trPr>
        <w:tc>
          <w:tcPr>
            <w:tcW w:w="5637" w:type="dxa"/>
            <w:vAlign w:val="center"/>
          </w:tcPr>
          <w:p w:rsidR="00607022" w:rsidRPr="00607022" w:rsidRDefault="00607022" w:rsidP="00607022">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Total non-current liabilities</w:t>
            </w:r>
          </w:p>
        </w:tc>
        <w:tc>
          <w:tcPr>
            <w:tcW w:w="1843" w:type="dxa"/>
            <w:tcBorders>
              <w:top w:val="single" w:sz="4" w:space="0" w:color="000000"/>
              <w:bottom w:val="single" w:sz="4" w:space="0" w:color="000000"/>
            </w:tcBorders>
            <w:vAlign w:val="center"/>
          </w:tcPr>
          <w:p w:rsidR="00607022" w:rsidRPr="00607022" w:rsidRDefault="00927F90" w:rsidP="00607022">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13,384,950</w:t>
            </w:r>
          </w:p>
        </w:tc>
        <w:tc>
          <w:tcPr>
            <w:tcW w:w="284" w:type="dxa"/>
            <w:vAlign w:val="center"/>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tcBorders>
              <w:top w:val="single" w:sz="4" w:space="0" w:color="000000"/>
              <w:bottom w:val="single" w:sz="4" w:space="0" w:color="000000"/>
            </w:tcBorders>
            <w:vAlign w:val="center"/>
          </w:tcPr>
          <w:p w:rsidR="00607022" w:rsidRPr="008F2EB6" w:rsidRDefault="00607022" w:rsidP="00607022">
            <w:pPr>
              <w:spacing w:after="0" w:line="240" w:lineRule="auto"/>
              <w:jc w:val="right"/>
              <w:rPr>
                <w:rFonts w:ascii="Times New Roman" w:eastAsia="Calibri" w:hAnsi="Times New Roman" w:cs="Times New Roman"/>
                <w:bCs/>
                <w:sz w:val="20"/>
                <w:szCs w:val="20"/>
              </w:rPr>
            </w:pPr>
            <w:r w:rsidRPr="008F2EB6">
              <w:rPr>
                <w:rFonts w:ascii="Times New Roman" w:eastAsia="Calibri" w:hAnsi="Times New Roman" w:cs="Times New Roman"/>
                <w:bCs/>
                <w:sz w:val="20"/>
                <w:szCs w:val="20"/>
              </w:rPr>
              <w:t>18,511,702</w:t>
            </w:r>
          </w:p>
        </w:tc>
      </w:tr>
      <w:tr w:rsidR="00607022" w:rsidRPr="00607022" w:rsidTr="00361109">
        <w:trPr>
          <w:cantSplit/>
          <w:trHeight w:hRule="exact" w:val="284"/>
        </w:trPr>
        <w:tc>
          <w:tcPr>
            <w:tcW w:w="5637" w:type="dxa"/>
            <w:vAlign w:val="center"/>
          </w:tcPr>
          <w:p w:rsidR="00607022" w:rsidRPr="00607022" w:rsidRDefault="00607022" w:rsidP="00607022">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Net assets</w:t>
            </w:r>
          </w:p>
        </w:tc>
        <w:tc>
          <w:tcPr>
            <w:tcW w:w="1843" w:type="dxa"/>
            <w:tcBorders>
              <w:top w:val="single" w:sz="4" w:space="0" w:color="000000"/>
              <w:bottom w:val="single" w:sz="12" w:space="0" w:color="000000"/>
            </w:tcBorders>
          </w:tcPr>
          <w:p w:rsidR="00607022" w:rsidRPr="00607022" w:rsidRDefault="00927F90" w:rsidP="00607022">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50,598,883</w:t>
            </w:r>
          </w:p>
        </w:tc>
        <w:tc>
          <w:tcPr>
            <w:tcW w:w="284" w:type="dxa"/>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tcBorders>
              <w:top w:val="single" w:sz="4" w:space="0" w:color="000000"/>
              <w:bottom w:val="single" w:sz="12" w:space="0" w:color="000000"/>
            </w:tcBorders>
          </w:tcPr>
          <w:p w:rsidR="00607022" w:rsidRPr="008F2EB6" w:rsidRDefault="00607022" w:rsidP="00607022">
            <w:pPr>
              <w:spacing w:after="0" w:line="240" w:lineRule="auto"/>
              <w:jc w:val="right"/>
              <w:rPr>
                <w:rFonts w:ascii="Times New Roman" w:eastAsia="Calibri" w:hAnsi="Times New Roman" w:cs="Times New Roman"/>
                <w:bCs/>
                <w:sz w:val="20"/>
                <w:szCs w:val="20"/>
              </w:rPr>
            </w:pPr>
            <w:r w:rsidRPr="008F2EB6">
              <w:rPr>
                <w:rFonts w:ascii="Times New Roman" w:eastAsia="Calibri" w:hAnsi="Times New Roman" w:cs="Times New Roman"/>
                <w:bCs/>
                <w:sz w:val="20"/>
                <w:szCs w:val="20"/>
              </w:rPr>
              <w:t>51,827,562</w:t>
            </w:r>
          </w:p>
        </w:tc>
      </w:tr>
      <w:tr w:rsidR="00607022" w:rsidRPr="00607022" w:rsidTr="004F3550">
        <w:trPr>
          <w:cantSplit/>
          <w:trHeight w:hRule="exact" w:val="284"/>
        </w:trPr>
        <w:tc>
          <w:tcPr>
            <w:tcW w:w="5637" w:type="dxa"/>
            <w:vAlign w:val="bottom"/>
          </w:tcPr>
          <w:p w:rsidR="00607022" w:rsidRPr="00607022" w:rsidRDefault="00607022" w:rsidP="00607022">
            <w:pPr>
              <w:spacing w:after="0" w:line="240" w:lineRule="auto"/>
              <w:rPr>
                <w:rFonts w:ascii="Times New Roman" w:eastAsia="Calibri" w:hAnsi="Times New Roman" w:cs="Times New Roman"/>
                <w:b/>
                <w:bCs/>
                <w:sz w:val="20"/>
                <w:szCs w:val="20"/>
              </w:rPr>
            </w:pPr>
          </w:p>
        </w:tc>
        <w:tc>
          <w:tcPr>
            <w:tcW w:w="1843" w:type="dxa"/>
            <w:tcBorders>
              <w:top w:val="single" w:sz="4" w:space="0" w:color="000000"/>
            </w:tcBorders>
          </w:tcPr>
          <w:p w:rsidR="00607022" w:rsidRPr="00607022" w:rsidRDefault="00607022" w:rsidP="00607022">
            <w:pPr>
              <w:spacing w:after="0" w:line="240" w:lineRule="auto"/>
              <w:jc w:val="right"/>
              <w:rPr>
                <w:rFonts w:ascii="Times New Roman" w:eastAsia="Calibri" w:hAnsi="Times New Roman" w:cs="Times New Roman"/>
                <w:b/>
                <w:bCs/>
                <w:sz w:val="20"/>
                <w:szCs w:val="20"/>
              </w:rPr>
            </w:pPr>
          </w:p>
        </w:tc>
        <w:tc>
          <w:tcPr>
            <w:tcW w:w="284" w:type="dxa"/>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tcBorders>
              <w:top w:val="single" w:sz="12" w:space="0" w:color="auto"/>
            </w:tcBorders>
          </w:tcPr>
          <w:p w:rsidR="00607022" w:rsidRPr="008F2EB6" w:rsidRDefault="00607022" w:rsidP="00607022">
            <w:pPr>
              <w:spacing w:after="0" w:line="240" w:lineRule="auto"/>
              <w:jc w:val="right"/>
              <w:rPr>
                <w:rFonts w:ascii="Times New Roman" w:eastAsia="Calibri" w:hAnsi="Times New Roman" w:cs="Times New Roman"/>
                <w:bCs/>
                <w:sz w:val="20"/>
                <w:szCs w:val="20"/>
              </w:rPr>
            </w:pPr>
          </w:p>
        </w:tc>
      </w:tr>
      <w:tr w:rsidR="00607022" w:rsidRPr="00607022" w:rsidTr="004F3550">
        <w:trPr>
          <w:cantSplit/>
          <w:trHeight w:hRule="exact" w:val="284"/>
        </w:trPr>
        <w:tc>
          <w:tcPr>
            <w:tcW w:w="5637" w:type="dxa"/>
            <w:vAlign w:val="bottom"/>
          </w:tcPr>
          <w:p w:rsidR="00607022" w:rsidRPr="00607022" w:rsidRDefault="00607022" w:rsidP="00607022">
            <w:pPr>
              <w:autoSpaceDE w:val="0"/>
              <w:autoSpaceDN w:val="0"/>
              <w:adjustRightInd w:val="0"/>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Capital and reserves attributable to equity holders</w:t>
            </w:r>
          </w:p>
        </w:tc>
        <w:tc>
          <w:tcPr>
            <w:tcW w:w="1843" w:type="dxa"/>
          </w:tcPr>
          <w:p w:rsidR="00607022" w:rsidRPr="00607022" w:rsidRDefault="00607022" w:rsidP="00607022">
            <w:pPr>
              <w:spacing w:after="0" w:line="240" w:lineRule="auto"/>
              <w:jc w:val="right"/>
              <w:rPr>
                <w:rFonts w:ascii="Times New Roman" w:eastAsia="Calibri" w:hAnsi="Times New Roman" w:cs="Times New Roman"/>
                <w:b/>
                <w:bCs/>
                <w:sz w:val="20"/>
                <w:szCs w:val="20"/>
              </w:rPr>
            </w:pPr>
          </w:p>
        </w:tc>
        <w:tc>
          <w:tcPr>
            <w:tcW w:w="284" w:type="dxa"/>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tcPr>
          <w:p w:rsidR="00607022" w:rsidRPr="008F2EB6" w:rsidRDefault="00607022" w:rsidP="00607022">
            <w:pPr>
              <w:spacing w:after="0" w:line="240" w:lineRule="auto"/>
              <w:jc w:val="right"/>
              <w:rPr>
                <w:rFonts w:ascii="Times New Roman" w:eastAsia="Calibri" w:hAnsi="Times New Roman" w:cs="Times New Roman"/>
                <w:bCs/>
                <w:sz w:val="20"/>
                <w:szCs w:val="20"/>
              </w:rPr>
            </w:pPr>
          </w:p>
        </w:tc>
      </w:tr>
      <w:tr w:rsidR="00607022" w:rsidRPr="00607022" w:rsidTr="004F3550">
        <w:trPr>
          <w:cantSplit/>
          <w:trHeight w:hRule="exact" w:val="549"/>
        </w:trPr>
        <w:tc>
          <w:tcPr>
            <w:tcW w:w="5637" w:type="dxa"/>
            <w:vAlign w:val="center"/>
          </w:tcPr>
          <w:p w:rsidR="00607022" w:rsidRPr="00607022" w:rsidRDefault="00607022" w:rsidP="00607022">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Share capital</w:t>
            </w:r>
          </w:p>
        </w:tc>
        <w:tc>
          <w:tcPr>
            <w:tcW w:w="1843" w:type="dxa"/>
          </w:tcPr>
          <w:p w:rsidR="00607022" w:rsidRPr="00607022" w:rsidRDefault="00927F90" w:rsidP="00607022">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437,732</w:t>
            </w:r>
          </w:p>
        </w:tc>
        <w:tc>
          <w:tcPr>
            <w:tcW w:w="284" w:type="dxa"/>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tcPr>
          <w:p w:rsidR="00607022" w:rsidRPr="008F2EB6" w:rsidRDefault="00607022" w:rsidP="00607022">
            <w:pPr>
              <w:spacing w:after="0" w:line="240" w:lineRule="auto"/>
              <w:jc w:val="right"/>
              <w:rPr>
                <w:rFonts w:ascii="Times New Roman" w:eastAsia="Calibri" w:hAnsi="Times New Roman" w:cs="Times New Roman"/>
                <w:bCs/>
                <w:sz w:val="20"/>
                <w:szCs w:val="20"/>
              </w:rPr>
            </w:pPr>
            <w:r w:rsidRPr="008F2EB6">
              <w:rPr>
                <w:rFonts w:ascii="Times New Roman" w:eastAsia="Calibri" w:hAnsi="Times New Roman" w:cs="Times New Roman"/>
                <w:bCs/>
                <w:sz w:val="20"/>
                <w:szCs w:val="20"/>
              </w:rPr>
              <w:t>447,145</w:t>
            </w:r>
          </w:p>
        </w:tc>
      </w:tr>
      <w:tr w:rsidR="00607022" w:rsidRPr="00607022" w:rsidTr="004F3550">
        <w:trPr>
          <w:cantSplit/>
          <w:trHeight w:hRule="exact" w:val="284"/>
        </w:trPr>
        <w:tc>
          <w:tcPr>
            <w:tcW w:w="5637" w:type="dxa"/>
            <w:vAlign w:val="center"/>
          </w:tcPr>
          <w:p w:rsidR="00607022" w:rsidRPr="00607022" w:rsidRDefault="00607022" w:rsidP="00607022">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Reserves</w:t>
            </w:r>
          </w:p>
        </w:tc>
        <w:tc>
          <w:tcPr>
            <w:tcW w:w="1843" w:type="dxa"/>
            <w:vAlign w:val="center"/>
          </w:tcPr>
          <w:p w:rsidR="00607022" w:rsidRPr="00607022" w:rsidRDefault="00607022" w:rsidP="00607022">
            <w:pPr>
              <w:tabs>
                <w:tab w:val="decimal" w:pos="1121"/>
              </w:tabs>
              <w:spacing w:after="0" w:line="240" w:lineRule="auto"/>
              <w:jc w:val="right"/>
              <w:rPr>
                <w:rFonts w:ascii="Times New Roman" w:eastAsia="Calibri" w:hAnsi="Times New Roman" w:cs="Times New Roman"/>
                <w:bCs/>
                <w:sz w:val="20"/>
                <w:szCs w:val="20"/>
              </w:rPr>
            </w:pPr>
          </w:p>
        </w:tc>
        <w:tc>
          <w:tcPr>
            <w:tcW w:w="284" w:type="dxa"/>
          </w:tcPr>
          <w:p w:rsidR="00607022" w:rsidRPr="00607022" w:rsidRDefault="00607022" w:rsidP="00607022">
            <w:pPr>
              <w:spacing w:after="0" w:line="240" w:lineRule="auto"/>
              <w:jc w:val="right"/>
              <w:rPr>
                <w:rFonts w:ascii="Times New Roman" w:eastAsia="Calibri" w:hAnsi="Times New Roman" w:cs="Times New Roman"/>
                <w:b/>
                <w:bCs/>
                <w:sz w:val="20"/>
                <w:szCs w:val="20"/>
              </w:rPr>
            </w:pPr>
          </w:p>
        </w:tc>
        <w:tc>
          <w:tcPr>
            <w:tcW w:w="1842" w:type="dxa"/>
            <w:vAlign w:val="center"/>
          </w:tcPr>
          <w:p w:rsidR="00607022" w:rsidRPr="008F2EB6" w:rsidRDefault="00607022" w:rsidP="00607022">
            <w:pPr>
              <w:tabs>
                <w:tab w:val="decimal" w:pos="1121"/>
              </w:tabs>
              <w:spacing w:after="0" w:line="240" w:lineRule="auto"/>
              <w:jc w:val="right"/>
              <w:rPr>
                <w:rFonts w:ascii="Times New Roman" w:eastAsia="Calibri" w:hAnsi="Times New Roman" w:cs="Times New Roman"/>
                <w:bCs/>
                <w:sz w:val="20"/>
                <w:szCs w:val="20"/>
              </w:rPr>
            </w:pPr>
          </w:p>
        </w:tc>
      </w:tr>
      <w:tr w:rsidR="00607022" w:rsidRPr="00607022" w:rsidTr="004F3550">
        <w:trPr>
          <w:cantSplit/>
          <w:trHeight w:hRule="exact" w:val="284"/>
        </w:trPr>
        <w:tc>
          <w:tcPr>
            <w:tcW w:w="5637" w:type="dxa"/>
            <w:vAlign w:val="center"/>
          </w:tcPr>
          <w:p w:rsidR="00607022" w:rsidRPr="00607022" w:rsidRDefault="00607022" w:rsidP="00607022">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Share premium</w:t>
            </w:r>
          </w:p>
        </w:tc>
        <w:tc>
          <w:tcPr>
            <w:tcW w:w="1843" w:type="dxa"/>
            <w:vAlign w:val="center"/>
          </w:tcPr>
          <w:p w:rsidR="00607022" w:rsidRPr="00607022" w:rsidRDefault="00607022" w:rsidP="00607022">
            <w:pPr>
              <w:tabs>
                <w:tab w:val="decimal" w:pos="1121"/>
                <w:tab w:val="center" w:pos="4513"/>
                <w:tab w:val="right" w:pos="9026"/>
              </w:tabs>
              <w:spacing w:after="0" w:line="240" w:lineRule="auto"/>
              <w:jc w:val="right"/>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6,017</w:t>
            </w:r>
          </w:p>
        </w:tc>
        <w:tc>
          <w:tcPr>
            <w:tcW w:w="284" w:type="dxa"/>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vAlign w:val="center"/>
          </w:tcPr>
          <w:p w:rsidR="00607022" w:rsidRPr="008F2EB6" w:rsidRDefault="00607022" w:rsidP="00607022">
            <w:pPr>
              <w:tabs>
                <w:tab w:val="decimal" w:pos="1121"/>
                <w:tab w:val="center" w:pos="4513"/>
                <w:tab w:val="right" w:pos="9026"/>
              </w:tabs>
              <w:spacing w:after="0" w:line="240" w:lineRule="auto"/>
              <w:jc w:val="right"/>
              <w:rPr>
                <w:rFonts w:ascii="Times New Roman" w:eastAsia="Calibri" w:hAnsi="Times New Roman" w:cs="Times New Roman"/>
                <w:bCs/>
                <w:sz w:val="20"/>
                <w:szCs w:val="20"/>
              </w:rPr>
            </w:pPr>
            <w:r w:rsidRPr="008F2EB6">
              <w:rPr>
                <w:rFonts w:ascii="Times New Roman" w:eastAsia="Calibri" w:hAnsi="Times New Roman" w:cs="Times New Roman"/>
                <w:bCs/>
                <w:sz w:val="20"/>
                <w:szCs w:val="20"/>
              </w:rPr>
              <w:t>6,017</w:t>
            </w:r>
          </w:p>
        </w:tc>
      </w:tr>
      <w:tr w:rsidR="00607022" w:rsidRPr="00607022" w:rsidTr="004F3550">
        <w:trPr>
          <w:cantSplit/>
          <w:trHeight w:hRule="exact" w:val="284"/>
        </w:trPr>
        <w:tc>
          <w:tcPr>
            <w:tcW w:w="5637" w:type="dxa"/>
            <w:vAlign w:val="center"/>
          </w:tcPr>
          <w:p w:rsidR="00607022" w:rsidRPr="00607022" w:rsidRDefault="00607022" w:rsidP="00607022">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Capital redemption reserve</w:t>
            </w:r>
          </w:p>
        </w:tc>
        <w:tc>
          <w:tcPr>
            <w:tcW w:w="1843" w:type="dxa"/>
            <w:vAlign w:val="center"/>
          </w:tcPr>
          <w:p w:rsidR="00607022" w:rsidRPr="00607022" w:rsidRDefault="00927F90" w:rsidP="00607022">
            <w:pPr>
              <w:tabs>
                <w:tab w:val="decimal" w:pos="1121"/>
                <w:tab w:val="center" w:pos="4513"/>
                <w:tab w:val="right" w:pos="9026"/>
              </w:tabs>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356,815</w:t>
            </w:r>
          </w:p>
        </w:tc>
        <w:tc>
          <w:tcPr>
            <w:tcW w:w="284" w:type="dxa"/>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vAlign w:val="center"/>
          </w:tcPr>
          <w:p w:rsidR="00607022" w:rsidRPr="008F2EB6" w:rsidRDefault="00607022" w:rsidP="00607022">
            <w:pPr>
              <w:tabs>
                <w:tab w:val="decimal" w:pos="1121"/>
                <w:tab w:val="center" w:pos="4513"/>
                <w:tab w:val="right" w:pos="9026"/>
              </w:tabs>
              <w:spacing w:after="0" w:line="240" w:lineRule="auto"/>
              <w:jc w:val="right"/>
              <w:rPr>
                <w:rFonts w:ascii="Times New Roman" w:eastAsia="Calibri" w:hAnsi="Times New Roman" w:cs="Times New Roman"/>
                <w:bCs/>
                <w:sz w:val="20"/>
                <w:szCs w:val="20"/>
              </w:rPr>
            </w:pPr>
            <w:r w:rsidRPr="008F2EB6">
              <w:rPr>
                <w:rFonts w:ascii="Times New Roman" w:eastAsia="Calibri" w:hAnsi="Times New Roman" w:cs="Times New Roman"/>
                <w:bCs/>
                <w:sz w:val="20"/>
                <w:szCs w:val="20"/>
              </w:rPr>
              <w:t>347,402</w:t>
            </w:r>
          </w:p>
        </w:tc>
      </w:tr>
      <w:tr w:rsidR="00607022" w:rsidRPr="00607022" w:rsidTr="004F3550">
        <w:trPr>
          <w:cantSplit/>
          <w:trHeight w:hRule="exact" w:val="284"/>
        </w:trPr>
        <w:tc>
          <w:tcPr>
            <w:tcW w:w="5637" w:type="dxa"/>
            <w:vAlign w:val="center"/>
          </w:tcPr>
          <w:p w:rsidR="00607022" w:rsidRPr="00607022" w:rsidRDefault="00607022" w:rsidP="00607022">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Merger reserve</w:t>
            </w:r>
          </w:p>
        </w:tc>
        <w:tc>
          <w:tcPr>
            <w:tcW w:w="1843" w:type="dxa"/>
            <w:vAlign w:val="center"/>
          </w:tcPr>
          <w:p w:rsidR="00607022" w:rsidRPr="00607022" w:rsidRDefault="00607022" w:rsidP="00607022">
            <w:pPr>
              <w:tabs>
                <w:tab w:val="decimal" w:pos="1121"/>
                <w:tab w:val="center" w:pos="4513"/>
                <w:tab w:val="right" w:pos="9026"/>
              </w:tabs>
              <w:spacing w:after="0" w:line="240" w:lineRule="auto"/>
              <w:jc w:val="right"/>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3,564</w:t>
            </w:r>
          </w:p>
        </w:tc>
        <w:tc>
          <w:tcPr>
            <w:tcW w:w="284" w:type="dxa"/>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vAlign w:val="center"/>
          </w:tcPr>
          <w:p w:rsidR="00607022" w:rsidRPr="008F2EB6" w:rsidRDefault="00607022" w:rsidP="00607022">
            <w:pPr>
              <w:tabs>
                <w:tab w:val="decimal" w:pos="1121"/>
                <w:tab w:val="center" w:pos="4513"/>
                <w:tab w:val="right" w:pos="9026"/>
              </w:tabs>
              <w:spacing w:after="0" w:line="240" w:lineRule="auto"/>
              <w:jc w:val="right"/>
              <w:rPr>
                <w:rFonts w:ascii="Times New Roman" w:eastAsia="Calibri" w:hAnsi="Times New Roman" w:cs="Times New Roman"/>
                <w:bCs/>
                <w:sz w:val="20"/>
                <w:szCs w:val="20"/>
              </w:rPr>
            </w:pPr>
            <w:r w:rsidRPr="008F2EB6">
              <w:rPr>
                <w:rFonts w:ascii="Times New Roman" w:eastAsia="Calibri" w:hAnsi="Times New Roman" w:cs="Times New Roman"/>
                <w:bCs/>
                <w:sz w:val="20"/>
                <w:szCs w:val="20"/>
              </w:rPr>
              <w:t>3,564</w:t>
            </w:r>
          </w:p>
        </w:tc>
      </w:tr>
      <w:tr w:rsidR="00607022" w:rsidRPr="00607022" w:rsidTr="00361109">
        <w:trPr>
          <w:cantSplit/>
          <w:trHeight w:hRule="exact" w:val="284"/>
        </w:trPr>
        <w:tc>
          <w:tcPr>
            <w:tcW w:w="5637" w:type="dxa"/>
            <w:vAlign w:val="center"/>
          </w:tcPr>
          <w:p w:rsidR="00607022" w:rsidRPr="00607022" w:rsidRDefault="00607022" w:rsidP="00607022">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Retained earnings</w:t>
            </w:r>
          </w:p>
        </w:tc>
        <w:tc>
          <w:tcPr>
            <w:tcW w:w="1843" w:type="dxa"/>
            <w:tcBorders>
              <w:bottom w:val="single" w:sz="4" w:space="0" w:color="000000"/>
            </w:tcBorders>
            <w:vAlign w:val="center"/>
          </w:tcPr>
          <w:p w:rsidR="00607022" w:rsidRPr="00607022" w:rsidRDefault="00927F90" w:rsidP="00607022">
            <w:pPr>
              <w:tabs>
                <w:tab w:val="decimal" w:pos="1121"/>
                <w:tab w:val="center" w:pos="4513"/>
                <w:tab w:val="right" w:pos="9026"/>
              </w:tabs>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49,794,755</w:t>
            </w:r>
          </w:p>
        </w:tc>
        <w:tc>
          <w:tcPr>
            <w:tcW w:w="284" w:type="dxa"/>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tcBorders>
              <w:bottom w:val="single" w:sz="4" w:space="0" w:color="000000"/>
            </w:tcBorders>
            <w:vAlign w:val="center"/>
          </w:tcPr>
          <w:p w:rsidR="00607022" w:rsidRPr="008F2EB6" w:rsidRDefault="00361109" w:rsidP="00607022">
            <w:pPr>
              <w:tabs>
                <w:tab w:val="decimal" w:pos="1121"/>
                <w:tab w:val="center" w:pos="4513"/>
                <w:tab w:val="right" w:pos="9026"/>
              </w:tabs>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51,023,434</w:t>
            </w:r>
          </w:p>
        </w:tc>
      </w:tr>
      <w:tr w:rsidR="00607022" w:rsidRPr="00607022" w:rsidTr="00361109">
        <w:trPr>
          <w:cantSplit/>
          <w:trHeight w:hRule="exact" w:val="284"/>
        </w:trPr>
        <w:tc>
          <w:tcPr>
            <w:tcW w:w="5637" w:type="dxa"/>
            <w:vAlign w:val="center"/>
          </w:tcPr>
          <w:p w:rsidR="00607022" w:rsidRPr="00607022" w:rsidRDefault="00607022" w:rsidP="00607022">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Total equity</w:t>
            </w:r>
          </w:p>
        </w:tc>
        <w:tc>
          <w:tcPr>
            <w:tcW w:w="1843" w:type="dxa"/>
            <w:tcBorders>
              <w:top w:val="single" w:sz="4" w:space="0" w:color="000000"/>
              <w:bottom w:val="single" w:sz="12" w:space="0" w:color="000000"/>
            </w:tcBorders>
            <w:vAlign w:val="center"/>
          </w:tcPr>
          <w:p w:rsidR="00607022" w:rsidRPr="00607022" w:rsidRDefault="00927F90" w:rsidP="00607022">
            <w:pPr>
              <w:tabs>
                <w:tab w:val="decimal" w:pos="1121"/>
              </w:tabs>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50,598,883</w:t>
            </w:r>
          </w:p>
        </w:tc>
        <w:tc>
          <w:tcPr>
            <w:tcW w:w="284" w:type="dxa"/>
          </w:tcPr>
          <w:p w:rsidR="00607022" w:rsidRPr="00607022" w:rsidRDefault="00607022" w:rsidP="00607022">
            <w:pPr>
              <w:spacing w:after="0" w:line="240" w:lineRule="auto"/>
              <w:jc w:val="right"/>
              <w:rPr>
                <w:rFonts w:ascii="Times New Roman" w:eastAsia="Calibri" w:hAnsi="Times New Roman" w:cs="Times New Roman"/>
                <w:bCs/>
                <w:sz w:val="20"/>
                <w:szCs w:val="20"/>
              </w:rPr>
            </w:pPr>
          </w:p>
        </w:tc>
        <w:tc>
          <w:tcPr>
            <w:tcW w:w="1842" w:type="dxa"/>
            <w:tcBorders>
              <w:top w:val="single" w:sz="4" w:space="0" w:color="000000"/>
              <w:bottom w:val="single" w:sz="12" w:space="0" w:color="000000"/>
            </w:tcBorders>
            <w:vAlign w:val="center"/>
          </w:tcPr>
          <w:p w:rsidR="00607022" w:rsidRPr="008F2EB6" w:rsidRDefault="00607022" w:rsidP="00607022">
            <w:pPr>
              <w:tabs>
                <w:tab w:val="decimal" w:pos="1121"/>
              </w:tabs>
              <w:spacing w:after="0" w:line="240" w:lineRule="auto"/>
              <w:jc w:val="right"/>
              <w:rPr>
                <w:rFonts w:ascii="Times New Roman" w:eastAsia="Calibri" w:hAnsi="Times New Roman" w:cs="Times New Roman"/>
                <w:bCs/>
                <w:sz w:val="20"/>
                <w:szCs w:val="20"/>
              </w:rPr>
            </w:pPr>
            <w:r w:rsidRPr="008F2EB6">
              <w:rPr>
                <w:rFonts w:ascii="Times New Roman" w:eastAsia="Calibri" w:hAnsi="Times New Roman" w:cs="Times New Roman"/>
                <w:bCs/>
                <w:sz w:val="20"/>
                <w:szCs w:val="20"/>
              </w:rPr>
              <w:t>51,827,562</w:t>
            </w:r>
          </w:p>
        </w:tc>
      </w:tr>
    </w:tbl>
    <w:p w:rsidR="00433406" w:rsidRPr="00607022" w:rsidRDefault="00433406" w:rsidP="00882370">
      <w:pPr>
        <w:spacing w:after="0" w:line="240" w:lineRule="auto"/>
        <w:rPr>
          <w:rFonts w:ascii="Times New Roman" w:hAnsi="Times New Roman" w:cs="Times New Roman"/>
          <w:bCs/>
          <w:sz w:val="20"/>
          <w:szCs w:val="20"/>
        </w:rPr>
      </w:pPr>
    </w:p>
    <w:tbl>
      <w:tblPr>
        <w:tblW w:w="9606" w:type="dxa"/>
        <w:tblLayout w:type="fixed"/>
        <w:tblLook w:val="04A0" w:firstRow="1" w:lastRow="0" w:firstColumn="1" w:lastColumn="0" w:noHBand="0" w:noVBand="1"/>
      </w:tblPr>
      <w:tblGrid>
        <w:gridCol w:w="5637"/>
        <w:gridCol w:w="1842"/>
        <w:gridCol w:w="284"/>
        <w:gridCol w:w="1843"/>
      </w:tblGrid>
      <w:tr w:rsidR="00433406" w:rsidRPr="00607022" w:rsidTr="00BB7D50">
        <w:trPr>
          <w:cantSplit/>
          <w:trHeight w:hRule="exact" w:val="284"/>
        </w:trPr>
        <w:tc>
          <w:tcPr>
            <w:tcW w:w="5637" w:type="dxa"/>
            <w:vAlign w:val="center"/>
          </w:tcPr>
          <w:p w:rsidR="00433406" w:rsidRPr="00607022" w:rsidRDefault="00433406" w:rsidP="00882370">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Net asset value per share</w:t>
            </w:r>
          </w:p>
        </w:tc>
        <w:tc>
          <w:tcPr>
            <w:tcW w:w="1842" w:type="dxa"/>
            <w:tcBorders>
              <w:bottom w:val="single" w:sz="12" w:space="0" w:color="000000"/>
            </w:tcBorders>
            <w:vAlign w:val="center"/>
          </w:tcPr>
          <w:p w:rsidR="00433406" w:rsidRPr="00607022" w:rsidRDefault="00927F90" w:rsidP="006D2681">
            <w:pPr>
              <w:tabs>
                <w:tab w:val="decimal" w:pos="1121"/>
              </w:tabs>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79.7</w:t>
            </w:r>
            <w:r w:rsidR="00DF2F66" w:rsidRPr="00607022">
              <w:rPr>
                <w:rFonts w:ascii="Times New Roman" w:eastAsia="Calibri" w:hAnsi="Times New Roman" w:cs="Times New Roman"/>
                <w:bCs/>
                <w:sz w:val="20"/>
                <w:szCs w:val="20"/>
              </w:rPr>
              <w:t xml:space="preserve"> </w:t>
            </w:r>
            <w:r w:rsidR="00F5449F" w:rsidRPr="00607022">
              <w:rPr>
                <w:rFonts w:ascii="Times New Roman" w:eastAsia="Calibri" w:hAnsi="Times New Roman" w:cs="Times New Roman"/>
                <w:bCs/>
                <w:sz w:val="20"/>
                <w:szCs w:val="20"/>
              </w:rPr>
              <w:t>p</w:t>
            </w:r>
          </w:p>
        </w:tc>
        <w:tc>
          <w:tcPr>
            <w:tcW w:w="284" w:type="dxa"/>
          </w:tcPr>
          <w:p w:rsidR="00433406" w:rsidRPr="00607022" w:rsidRDefault="00433406" w:rsidP="00882370">
            <w:pPr>
              <w:spacing w:after="0" w:line="240" w:lineRule="auto"/>
              <w:jc w:val="right"/>
              <w:rPr>
                <w:rFonts w:ascii="Times New Roman" w:eastAsia="Calibri" w:hAnsi="Times New Roman" w:cs="Times New Roman"/>
                <w:bCs/>
                <w:sz w:val="20"/>
                <w:szCs w:val="20"/>
              </w:rPr>
            </w:pPr>
          </w:p>
        </w:tc>
        <w:tc>
          <w:tcPr>
            <w:tcW w:w="1843" w:type="dxa"/>
            <w:tcBorders>
              <w:bottom w:val="single" w:sz="12" w:space="0" w:color="000000"/>
            </w:tcBorders>
            <w:vAlign w:val="center"/>
          </w:tcPr>
          <w:p w:rsidR="00433406" w:rsidRPr="00607022" w:rsidRDefault="00C34A99" w:rsidP="00882370">
            <w:pPr>
              <w:tabs>
                <w:tab w:val="decimal" w:pos="1121"/>
              </w:tabs>
              <w:spacing w:after="0" w:line="240" w:lineRule="auto"/>
              <w:jc w:val="right"/>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80.5 p</w:t>
            </w:r>
          </w:p>
        </w:tc>
      </w:tr>
    </w:tbl>
    <w:p w:rsidR="00210983" w:rsidRPr="00607022" w:rsidRDefault="00210983" w:rsidP="00882370">
      <w:pPr>
        <w:tabs>
          <w:tab w:val="left" w:pos="6424"/>
        </w:tabs>
        <w:spacing w:after="0" w:line="240" w:lineRule="auto"/>
        <w:ind w:right="2790"/>
        <w:rPr>
          <w:rFonts w:ascii="Times New Roman" w:hAnsi="Times New Roman" w:cs="Times New Roman"/>
          <w:bCs/>
          <w:sz w:val="20"/>
          <w:szCs w:val="20"/>
        </w:rPr>
      </w:pPr>
    </w:p>
    <w:p w:rsidR="00BB7D50" w:rsidRPr="00607022" w:rsidRDefault="00433406" w:rsidP="00882370">
      <w:pPr>
        <w:tabs>
          <w:tab w:val="left" w:pos="6424"/>
        </w:tabs>
        <w:spacing w:after="0" w:line="240" w:lineRule="auto"/>
        <w:ind w:right="2790"/>
        <w:rPr>
          <w:rFonts w:ascii="Times New Roman" w:hAnsi="Times New Roman" w:cs="Times New Roman"/>
          <w:bCs/>
          <w:sz w:val="20"/>
          <w:szCs w:val="20"/>
        </w:rPr>
      </w:pPr>
      <w:r w:rsidRPr="00607022">
        <w:rPr>
          <w:rFonts w:ascii="Times New Roman" w:hAnsi="Times New Roman" w:cs="Times New Roman"/>
          <w:bCs/>
          <w:sz w:val="20"/>
          <w:szCs w:val="20"/>
        </w:rPr>
        <w:t xml:space="preserve">The Board of Directors approved and authorised the </w:t>
      </w:r>
      <w:r w:rsidRPr="00607022">
        <w:rPr>
          <w:rFonts w:ascii="Times New Roman" w:hAnsi="Times New Roman" w:cs="Times New Roman"/>
          <w:sz w:val="20"/>
          <w:szCs w:val="20"/>
        </w:rPr>
        <w:t>Group</w:t>
      </w:r>
      <w:r w:rsidRPr="00607022">
        <w:rPr>
          <w:rFonts w:ascii="Times New Roman" w:hAnsi="Times New Roman" w:cs="Times New Roman"/>
          <w:bCs/>
          <w:sz w:val="20"/>
          <w:szCs w:val="20"/>
        </w:rPr>
        <w:t xml:space="preserve">’s financial </w:t>
      </w:r>
      <w:r w:rsidR="00582B6E">
        <w:rPr>
          <w:rFonts w:ascii="Times New Roman" w:hAnsi="Times New Roman" w:cs="Times New Roman"/>
          <w:bCs/>
          <w:sz w:val="20"/>
          <w:szCs w:val="20"/>
        </w:rPr>
        <w:t>s</w:t>
      </w:r>
      <w:r w:rsidRPr="00607022">
        <w:rPr>
          <w:rFonts w:ascii="Times New Roman" w:hAnsi="Times New Roman" w:cs="Times New Roman"/>
          <w:bCs/>
          <w:sz w:val="20"/>
          <w:szCs w:val="20"/>
        </w:rPr>
        <w:t xml:space="preserve">tatements for issue on </w:t>
      </w:r>
      <w:r w:rsidR="00C34A99">
        <w:rPr>
          <w:rFonts w:ascii="Times New Roman" w:hAnsi="Times New Roman" w:cs="Times New Roman"/>
          <w:bCs/>
          <w:sz w:val="20"/>
          <w:szCs w:val="20"/>
        </w:rPr>
        <w:t>30</w:t>
      </w:r>
      <w:r w:rsidR="00BB7D50" w:rsidRPr="00607022">
        <w:rPr>
          <w:rFonts w:ascii="Times New Roman" w:hAnsi="Times New Roman" w:cs="Times New Roman"/>
          <w:bCs/>
          <w:sz w:val="20"/>
          <w:szCs w:val="20"/>
        </w:rPr>
        <w:t xml:space="preserve"> </w:t>
      </w:r>
      <w:r w:rsidR="004F3550" w:rsidRPr="00607022">
        <w:rPr>
          <w:rFonts w:ascii="Times New Roman" w:hAnsi="Times New Roman" w:cs="Times New Roman"/>
          <w:bCs/>
          <w:sz w:val="20"/>
          <w:szCs w:val="20"/>
        </w:rPr>
        <w:t>September</w:t>
      </w:r>
      <w:r w:rsidR="00BB7D50" w:rsidRPr="00607022">
        <w:rPr>
          <w:rFonts w:ascii="Times New Roman" w:hAnsi="Times New Roman" w:cs="Times New Roman"/>
          <w:bCs/>
          <w:sz w:val="20"/>
          <w:szCs w:val="20"/>
        </w:rPr>
        <w:t xml:space="preserve"> 201</w:t>
      </w:r>
      <w:r w:rsidR="00C34A99">
        <w:rPr>
          <w:rFonts w:ascii="Times New Roman" w:hAnsi="Times New Roman" w:cs="Times New Roman"/>
          <w:bCs/>
          <w:sz w:val="20"/>
          <w:szCs w:val="20"/>
        </w:rPr>
        <w:t>6</w:t>
      </w:r>
      <w:r w:rsidRPr="00607022">
        <w:rPr>
          <w:rFonts w:ascii="Times New Roman" w:hAnsi="Times New Roman" w:cs="Times New Roman"/>
          <w:bCs/>
          <w:sz w:val="20"/>
          <w:szCs w:val="20"/>
        </w:rPr>
        <w:t>.</w:t>
      </w:r>
    </w:p>
    <w:p w:rsidR="00210983" w:rsidRPr="00607022" w:rsidRDefault="00210983" w:rsidP="00882370">
      <w:pPr>
        <w:tabs>
          <w:tab w:val="left" w:pos="6424"/>
        </w:tabs>
        <w:spacing w:after="0" w:line="240" w:lineRule="auto"/>
        <w:ind w:right="2790"/>
        <w:rPr>
          <w:rFonts w:ascii="Times New Roman" w:hAnsi="Times New Roman" w:cs="Times New Roman"/>
          <w:bCs/>
          <w:sz w:val="20"/>
          <w:szCs w:val="20"/>
        </w:rPr>
      </w:pPr>
    </w:p>
    <w:p w:rsidR="00210983" w:rsidRPr="00607022" w:rsidRDefault="00210983" w:rsidP="00882370">
      <w:pPr>
        <w:tabs>
          <w:tab w:val="left" w:pos="6424"/>
        </w:tabs>
        <w:spacing w:after="0" w:line="240" w:lineRule="auto"/>
        <w:ind w:right="680"/>
        <w:rPr>
          <w:rFonts w:ascii="Times New Roman" w:hAnsi="Times New Roman" w:cs="Times New Roman"/>
          <w:bCs/>
          <w:sz w:val="20"/>
          <w:szCs w:val="20"/>
        </w:rPr>
      </w:pPr>
    </w:p>
    <w:p w:rsidR="00433406" w:rsidRPr="00607022" w:rsidRDefault="00433406" w:rsidP="00882370">
      <w:pPr>
        <w:tabs>
          <w:tab w:val="left" w:pos="6424"/>
        </w:tabs>
        <w:spacing w:after="0" w:line="240" w:lineRule="auto"/>
        <w:ind w:right="680"/>
        <w:rPr>
          <w:rFonts w:ascii="Times New Roman" w:hAnsi="Times New Roman" w:cs="Times New Roman"/>
          <w:bCs/>
          <w:sz w:val="20"/>
          <w:szCs w:val="20"/>
        </w:rPr>
      </w:pPr>
      <w:proofErr w:type="gramStart"/>
      <w:r w:rsidRPr="00607022">
        <w:rPr>
          <w:rFonts w:ascii="Times New Roman" w:hAnsi="Times New Roman" w:cs="Times New Roman"/>
          <w:bCs/>
          <w:sz w:val="20"/>
          <w:szCs w:val="20"/>
        </w:rPr>
        <w:t>Signed on behalf of the Board by: CRW Parish (</w:t>
      </w:r>
      <w:r w:rsidR="00F80EDE" w:rsidRPr="00607022">
        <w:rPr>
          <w:rFonts w:ascii="Times New Roman" w:hAnsi="Times New Roman" w:cs="Times New Roman"/>
          <w:bCs/>
          <w:sz w:val="20"/>
          <w:szCs w:val="20"/>
        </w:rPr>
        <w:t>Director</w:t>
      </w:r>
      <w:r w:rsidRPr="00607022">
        <w:rPr>
          <w:rFonts w:ascii="Times New Roman" w:hAnsi="Times New Roman" w:cs="Times New Roman"/>
          <w:bCs/>
          <w:sz w:val="20"/>
          <w:szCs w:val="20"/>
        </w:rPr>
        <w:t xml:space="preserve">) and </w:t>
      </w:r>
      <w:r w:rsidR="006D2681" w:rsidRPr="00607022">
        <w:rPr>
          <w:rFonts w:ascii="Times New Roman" w:hAnsi="Times New Roman" w:cs="Times New Roman"/>
          <w:bCs/>
          <w:sz w:val="20"/>
          <w:szCs w:val="20"/>
        </w:rPr>
        <w:t>RAR Evans</w:t>
      </w:r>
      <w:r w:rsidRPr="00607022">
        <w:rPr>
          <w:rFonts w:ascii="Times New Roman" w:hAnsi="Times New Roman" w:cs="Times New Roman"/>
          <w:bCs/>
          <w:sz w:val="20"/>
          <w:szCs w:val="20"/>
        </w:rPr>
        <w:t xml:space="preserve"> (Director).</w:t>
      </w:r>
      <w:proofErr w:type="gramEnd"/>
    </w:p>
    <w:p w:rsidR="00210983" w:rsidRPr="00607022" w:rsidRDefault="00210983" w:rsidP="00882370">
      <w:pPr>
        <w:spacing w:after="0" w:line="240" w:lineRule="auto"/>
        <w:rPr>
          <w:rFonts w:ascii="Times New Roman" w:hAnsi="Times New Roman" w:cs="Times New Roman"/>
          <w:bCs/>
          <w:sz w:val="20"/>
          <w:szCs w:val="20"/>
        </w:rPr>
      </w:pPr>
    </w:p>
    <w:p w:rsidR="00A06A8C" w:rsidRPr="00607022" w:rsidRDefault="008F2EB6" w:rsidP="008F2EB6">
      <w:pPr>
        <w:spacing w:after="0" w:line="240" w:lineRule="auto"/>
        <w:rPr>
          <w:rFonts w:ascii="Times New Roman" w:hAnsi="Times New Roman" w:cs="Times New Roman"/>
          <w:b/>
          <w:bCs/>
          <w:sz w:val="20"/>
          <w:szCs w:val="20"/>
        </w:rPr>
      </w:pPr>
      <w:r>
        <w:rPr>
          <w:rFonts w:ascii="Times New Roman" w:hAnsi="Times New Roman" w:cs="Times New Roman"/>
          <w:bCs/>
          <w:sz w:val="20"/>
          <w:szCs w:val="20"/>
        </w:rPr>
        <w:t>T</w:t>
      </w:r>
      <w:r w:rsidR="00433406" w:rsidRPr="00607022">
        <w:rPr>
          <w:rFonts w:ascii="Times New Roman" w:hAnsi="Times New Roman" w:cs="Times New Roman"/>
          <w:bCs/>
          <w:sz w:val="20"/>
          <w:szCs w:val="20"/>
        </w:rPr>
        <w:t xml:space="preserve">he Annual </w:t>
      </w:r>
      <w:r w:rsidR="003D7ED7" w:rsidRPr="00607022">
        <w:rPr>
          <w:rFonts w:ascii="Times New Roman" w:hAnsi="Times New Roman" w:cs="Times New Roman"/>
          <w:bCs/>
          <w:sz w:val="20"/>
          <w:szCs w:val="20"/>
        </w:rPr>
        <w:t>Report is</w:t>
      </w:r>
      <w:r w:rsidR="00433406" w:rsidRPr="00607022">
        <w:rPr>
          <w:rFonts w:ascii="Times New Roman" w:hAnsi="Times New Roman" w:cs="Times New Roman"/>
          <w:bCs/>
          <w:sz w:val="20"/>
          <w:szCs w:val="20"/>
        </w:rPr>
        <w:t xml:space="preserve"> available at </w:t>
      </w:r>
      <w:hyperlink r:id="rId8" w:history="1">
        <w:r w:rsidR="003D7ED7" w:rsidRPr="00607022">
          <w:rPr>
            <w:rStyle w:val="Hyperlink"/>
            <w:rFonts w:ascii="Times New Roman" w:hAnsi="Times New Roman" w:cs="Times New Roman"/>
            <w:bCs/>
            <w:sz w:val="20"/>
            <w:szCs w:val="20"/>
          </w:rPr>
          <w:t>www.eloro.com</w:t>
        </w:r>
      </w:hyperlink>
      <w:r w:rsidR="003D7ED7" w:rsidRPr="00607022">
        <w:rPr>
          <w:rFonts w:ascii="Times New Roman" w:hAnsi="Times New Roman" w:cs="Times New Roman"/>
          <w:bCs/>
          <w:sz w:val="20"/>
          <w:szCs w:val="20"/>
        </w:rPr>
        <w:t xml:space="preserve"> </w:t>
      </w:r>
      <w:r w:rsidR="00A06A8C" w:rsidRPr="00607022">
        <w:rPr>
          <w:rFonts w:ascii="Times New Roman" w:hAnsi="Times New Roman" w:cs="Times New Roman"/>
          <w:b/>
          <w:bCs/>
          <w:sz w:val="20"/>
          <w:szCs w:val="20"/>
        </w:rPr>
        <w:br w:type="page"/>
      </w:r>
    </w:p>
    <w:p w:rsidR="00433406" w:rsidRPr="00607022" w:rsidRDefault="00210983" w:rsidP="00210983">
      <w:pPr>
        <w:spacing w:after="0" w:line="240" w:lineRule="auto"/>
        <w:rPr>
          <w:rFonts w:ascii="Times New Roman" w:hAnsi="Times New Roman" w:cs="Times New Roman"/>
          <w:b/>
          <w:bCs/>
          <w:sz w:val="20"/>
          <w:szCs w:val="20"/>
        </w:rPr>
      </w:pPr>
      <w:r w:rsidRPr="00607022">
        <w:rPr>
          <w:rFonts w:ascii="Times New Roman" w:hAnsi="Times New Roman" w:cs="Times New Roman"/>
          <w:b/>
          <w:bCs/>
          <w:sz w:val="20"/>
          <w:szCs w:val="20"/>
        </w:rPr>
        <w:lastRenderedPageBreak/>
        <w:t>CONSOLIDATED STATEMENT OF CASH FLOW</w:t>
      </w:r>
    </w:p>
    <w:p w:rsidR="00433406" w:rsidRPr="00607022" w:rsidRDefault="00433406" w:rsidP="00210983">
      <w:pPr>
        <w:spacing w:after="0" w:line="240" w:lineRule="auto"/>
        <w:rPr>
          <w:rFonts w:ascii="Times New Roman" w:hAnsi="Times New Roman" w:cs="Times New Roman"/>
          <w:spacing w:val="2"/>
          <w:sz w:val="20"/>
          <w:szCs w:val="20"/>
        </w:rPr>
      </w:pPr>
      <w:r w:rsidRPr="00607022">
        <w:rPr>
          <w:rFonts w:ascii="Times New Roman" w:hAnsi="Times New Roman" w:cs="Times New Roman"/>
          <w:spacing w:val="2"/>
          <w:sz w:val="20"/>
          <w:szCs w:val="20"/>
        </w:rPr>
        <w:t xml:space="preserve">For the year ended </w:t>
      </w:r>
      <w:r w:rsidR="006C61DF" w:rsidRPr="00607022">
        <w:rPr>
          <w:rFonts w:ascii="Times New Roman" w:hAnsi="Times New Roman" w:cs="Times New Roman"/>
          <w:spacing w:val="2"/>
          <w:sz w:val="20"/>
          <w:szCs w:val="20"/>
        </w:rPr>
        <w:t>30 June</w:t>
      </w:r>
    </w:p>
    <w:tbl>
      <w:tblPr>
        <w:tblW w:w="9248" w:type="dxa"/>
        <w:tblInd w:w="108" w:type="dxa"/>
        <w:tblLook w:val="04A0" w:firstRow="1" w:lastRow="0" w:firstColumn="1" w:lastColumn="0" w:noHBand="0" w:noVBand="1"/>
      </w:tblPr>
      <w:tblGrid>
        <w:gridCol w:w="5397"/>
        <w:gridCol w:w="2000"/>
        <w:gridCol w:w="277"/>
        <w:gridCol w:w="1574"/>
      </w:tblGrid>
      <w:tr w:rsidR="004F3550" w:rsidRPr="00607022" w:rsidTr="006C7E08">
        <w:trPr>
          <w:trHeight w:hRule="exact" w:val="284"/>
        </w:trPr>
        <w:tc>
          <w:tcPr>
            <w:tcW w:w="5397" w:type="dxa"/>
            <w:tcBorders>
              <w:top w:val="nil"/>
              <w:left w:val="nil"/>
              <w:bottom w:val="nil"/>
              <w:right w:val="nil"/>
            </w:tcBorders>
            <w:shd w:val="clear" w:color="auto" w:fill="auto"/>
            <w:noWrap/>
            <w:vAlign w:val="bottom"/>
            <w:hideMark/>
          </w:tcPr>
          <w:p w:rsidR="004F3550" w:rsidRPr="00607022" w:rsidRDefault="004F3550" w:rsidP="00210983">
            <w:pPr>
              <w:spacing w:after="0" w:line="240" w:lineRule="auto"/>
              <w:rPr>
                <w:rFonts w:ascii="Times New Roman" w:hAnsi="Times New Roman" w:cs="Times New Roman"/>
                <w:sz w:val="20"/>
                <w:szCs w:val="20"/>
                <w:lang w:eastAsia="en-GB"/>
              </w:rPr>
            </w:pPr>
          </w:p>
        </w:tc>
        <w:tc>
          <w:tcPr>
            <w:tcW w:w="2000" w:type="dxa"/>
            <w:tcBorders>
              <w:top w:val="nil"/>
              <w:left w:val="nil"/>
              <w:bottom w:val="nil"/>
              <w:right w:val="nil"/>
            </w:tcBorders>
            <w:shd w:val="clear" w:color="auto" w:fill="auto"/>
            <w:noWrap/>
            <w:vAlign w:val="bottom"/>
            <w:hideMark/>
          </w:tcPr>
          <w:p w:rsidR="004F3550" w:rsidRPr="00607022" w:rsidRDefault="004F3550" w:rsidP="008F2EB6">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30 June 201</w:t>
            </w:r>
            <w:r w:rsidR="008F2EB6">
              <w:rPr>
                <w:rFonts w:ascii="Times New Roman" w:hAnsi="Times New Roman" w:cs="Times New Roman"/>
                <w:b/>
                <w:bCs/>
                <w:sz w:val="20"/>
                <w:szCs w:val="20"/>
                <w:lang w:eastAsia="en-GB"/>
              </w:rPr>
              <w:t>6</w:t>
            </w:r>
          </w:p>
        </w:tc>
        <w:tc>
          <w:tcPr>
            <w:tcW w:w="277" w:type="dxa"/>
            <w:tcBorders>
              <w:top w:val="nil"/>
              <w:left w:val="nil"/>
              <w:bottom w:val="nil"/>
              <w:right w:val="nil"/>
            </w:tcBorders>
            <w:shd w:val="clear" w:color="auto" w:fill="auto"/>
            <w:noWrap/>
            <w:vAlign w:val="bottom"/>
            <w:hideMark/>
          </w:tcPr>
          <w:p w:rsidR="004F3550" w:rsidRPr="00607022" w:rsidRDefault="004F3550" w:rsidP="00210983">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vAlign w:val="bottom"/>
          </w:tcPr>
          <w:p w:rsidR="004F3550" w:rsidRPr="00607022" w:rsidRDefault="004F3550" w:rsidP="00210983">
            <w:pPr>
              <w:spacing w:after="0" w:line="240" w:lineRule="auto"/>
              <w:jc w:val="right"/>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30 June</w:t>
            </w:r>
            <w:r w:rsidR="006C7E08" w:rsidRPr="00607022">
              <w:rPr>
                <w:rFonts w:ascii="Times New Roman" w:hAnsi="Times New Roman" w:cs="Times New Roman"/>
                <w:bCs/>
                <w:sz w:val="20"/>
                <w:szCs w:val="20"/>
                <w:lang w:eastAsia="en-GB"/>
              </w:rPr>
              <w:t xml:space="preserve"> 201</w:t>
            </w:r>
            <w:r w:rsidR="00C34A99">
              <w:rPr>
                <w:rFonts w:ascii="Times New Roman" w:hAnsi="Times New Roman" w:cs="Times New Roman"/>
                <w:bCs/>
                <w:sz w:val="20"/>
                <w:szCs w:val="20"/>
                <w:lang w:eastAsia="en-GB"/>
              </w:rPr>
              <w:t>5</w:t>
            </w:r>
          </w:p>
        </w:tc>
      </w:tr>
      <w:tr w:rsidR="004F3550" w:rsidRPr="00607022" w:rsidTr="006C7E08">
        <w:trPr>
          <w:trHeight w:hRule="exact" w:val="284"/>
        </w:trPr>
        <w:tc>
          <w:tcPr>
            <w:tcW w:w="5397" w:type="dxa"/>
            <w:tcBorders>
              <w:top w:val="nil"/>
              <w:left w:val="nil"/>
              <w:bottom w:val="nil"/>
              <w:right w:val="nil"/>
            </w:tcBorders>
            <w:shd w:val="clear" w:color="auto" w:fill="auto"/>
            <w:noWrap/>
            <w:vAlign w:val="bottom"/>
            <w:hideMark/>
          </w:tcPr>
          <w:p w:rsidR="004F3550" w:rsidRPr="00607022" w:rsidRDefault="004F3550" w:rsidP="00210983">
            <w:pPr>
              <w:spacing w:after="0" w:line="240" w:lineRule="auto"/>
              <w:rPr>
                <w:rFonts w:ascii="Times New Roman" w:hAnsi="Times New Roman" w:cs="Times New Roman"/>
                <w:sz w:val="20"/>
                <w:szCs w:val="20"/>
                <w:lang w:eastAsia="en-GB"/>
              </w:rPr>
            </w:pPr>
          </w:p>
        </w:tc>
        <w:tc>
          <w:tcPr>
            <w:tcW w:w="2000" w:type="dxa"/>
            <w:tcBorders>
              <w:top w:val="nil"/>
              <w:left w:val="nil"/>
              <w:bottom w:val="nil"/>
              <w:right w:val="nil"/>
            </w:tcBorders>
            <w:shd w:val="clear" w:color="auto" w:fill="auto"/>
            <w:noWrap/>
            <w:vAlign w:val="bottom"/>
            <w:hideMark/>
          </w:tcPr>
          <w:p w:rsidR="004F3550" w:rsidRPr="00607022" w:rsidRDefault="004F3550" w:rsidP="00210983">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 xml:space="preserve">£   </w:t>
            </w:r>
          </w:p>
        </w:tc>
        <w:tc>
          <w:tcPr>
            <w:tcW w:w="277" w:type="dxa"/>
            <w:tcBorders>
              <w:top w:val="nil"/>
              <w:left w:val="nil"/>
              <w:bottom w:val="nil"/>
              <w:right w:val="nil"/>
            </w:tcBorders>
            <w:shd w:val="clear" w:color="auto" w:fill="auto"/>
            <w:noWrap/>
            <w:vAlign w:val="bottom"/>
            <w:hideMark/>
          </w:tcPr>
          <w:p w:rsidR="004F3550" w:rsidRPr="00607022" w:rsidRDefault="004F3550" w:rsidP="00210983">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vAlign w:val="bottom"/>
          </w:tcPr>
          <w:p w:rsidR="004F3550" w:rsidRPr="00607022" w:rsidRDefault="004F3550" w:rsidP="00210983">
            <w:pPr>
              <w:spacing w:after="0" w:line="240" w:lineRule="auto"/>
              <w:jc w:val="right"/>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 xml:space="preserve">£   </w:t>
            </w:r>
          </w:p>
        </w:tc>
      </w:tr>
      <w:tr w:rsidR="004F3550" w:rsidRPr="00607022" w:rsidTr="006C7E08">
        <w:trPr>
          <w:cantSplit/>
          <w:trHeight w:hRule="exact" w:val="340"/>
        </w:trPr>
        <w:tc>
          <w:tcPr>
            <w:tcW w:w="5397" w:type="dxa"/>
            <w:tcBorders>
              <w:top w:val="nil"/>
              <w:left w:val="nil"/>
              <w:bottom w:val="nil"/>
              <w:right w:val="nil"/>
            </w:tcBorders>
            <w:shd w:val="clear" w:color="auto" w:fill="auto"/>
            <w:noWrap/>
            <w:vAlign w:val="bottom"/>
            <w:hideMark/>
          </w:tcPr>
          <w:p w:rsidR="004F3550" w:rsidRPr="00607022" w:rsidRDefault="004F3550" w:rsidP="00210983">
            <w:pPr>
              <w:spacing w:after="0" w:line="240" w:lineRule="auto"/>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Operating activities</w:t>
            </w:r>
          </w:p>
        </w:tc>
        <w:tc>
          <w:tcPr>
            <w:tcW w:w="2000" w:type="dxa"/>
            <w:tcBorders>
              <w:top w:val="nil"/>
              <w:left w:val="nil"/>
              <w:bottom w:val="nil"/>
              <w:right w:val="nil"/>
            </w:tcBorders>
            <w:shd w:val="clear" w:color="auto" w:fill="auto"/>
            <w:noWrap/>
            <w:vAlign w:val="bottom"/>
            <w:hideMark/>
          </w:tcPr>
          <w:p w:rsidR="004F3550" w:rsidRPr="00607022" w:rsidRDefault="004F3550" w:rsidP="00210983">
            <w:pPr>
              <w:spacing w:after="0" w:line="240" w:lineRule="auto"/>
              <w:rPr>
                <w:rFonts w:ascii="Times New Roman" w:hAnsi="Times New Roman" w:cs="Times New Roman"/>
                <w:b/>
                <w:bCs/>
                <w:sz w:val="20"/>
                <w:szCs w:val="20"/>
                <w:lang w:eastAsia="en-GB"/>
              </w:rPr>
            </w:pPr>
          </w:p>
        </w:tc>
        <w:tc>
          <w:tcPr>
            <w:tcW w:w="277" w:type="dxa"/>
            <w:tcBorders>
              <w:top w:val="nil"/>
              <w:left w:val="nil"/>
              <w:bottom w:val="nil"/>
              <w:right w:val="nil"/>
            </w:tcBorders>
            <w:shd w:val="clear" w:color="auto" w:fill="auto"/>
            <w:noWrap/>
            <w:vAlign w:val="bottom"/>
            <w:hideMark/>
          </w:tcPr>
          <w:p w:rsidR="004F3550" w:rsidRPr="00607022" w:rsidRDefault="004F3550" w:rsidP="00210983">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vAlign w:val="bottom"/>
          </w:tcPr>
          <w:p w:rsidR="004F3550" w:rsidRPr="00C34A99" w:rsidRDefault="004F3550" w:rsidP="00210983">
            <w:pPr>
              <w:spacing w:after="0" w:line="240" w:lineRule="auto"/>
              <w:rPr>
                <w:rFonts w:ascii="Times New Roman" w:hAnsi="Times New Roman" w:cs="Times New Roman"/>
                <w:bCs/>
                <w:sz w:val="20"/>
                <w:szCs w:val="20"/>
                <w:lang w:eastAsia="en-GB"/>
              </w:rPr>
            </w:pPr>
          </w:p>
        </w:tc>
      </w:tr>
      <w:tr w:rsidR="00C34A99" w:rsidRPr="00607022" w:rsidTr="00361109">
        <w:trPr>
          <w:cantSplit/>
          <w:trHeight w:hRule="exact" w:val="340"/>
        </w:trPr>
        <w:tc>
          <w:tcPr>
            <w:tcW w:w="5397" w:type="dxa"/>
            <w:tcBorders>
              <w:top w:val="nil"/>
              <w:left w:val="nil"/>
              <w:bottom w:val="nil"/>
              <w:right w:val="nil"/>
            </w:tcBorders>
            <w:shd w:val="clear" w:color="auto" w:fill="auto"/>
            <w:noWrap/>
            <w:vAlign w:val="center"/>
            <w:hideMark/>
          </w:tcPr>
          <w:p w:rsidR="00C34A99" w:rsidRPr="00607022" w:rsidRDefault="00C34A99" w:rsidP="00582B6E">
            <w:pPr>
              <w:spacing w:after="0" w:line="240" w:lineRule="auto"/>
              <w:rPr>
                <w:rFonts w:ascii="Times New Roman" w:hAnsi="Times New Roman" w:cs="Times New Roman"/>
                <w:sz w:val="20"/>
                <w:szCs w:val="20"/>
                <w:lang w:eastAsia="en-GB"/>
              </w:rPr>
            </w:pPr>
            <w:r w:rsidRPr="00607022">
              <w:rPr>
                <w:rFonts w:ascii="Times New Roman" w:hAnsi="Times New Roman" w:cs="Times New Roman"/>
                <w:sz w:val="20"/>
                <w:szCs w:val="20"/>
                <w:lang w:eastAsia="en-GB"/>
              </w:rPr>
              <w:t>Net loss before tax</w:t>
            </w:r>
          </w:p>
        </w:tc>
        <w:tc>
          <w:tcPr>
            <w:tcW w:w="2000" w:type="dxa"/>
            <w:tcBorders>
              <w:top w:val="nil"/>
              <w:left w:val="nil"/>
              <w:bottom w:val="nil"/>
              <w:right w:val="nil"/>
            </w:tcBorders>
            <w:shd w:val="clear" w:color="auto" w:fill="auto"/>
            <w:noWrap/>
            <w:vAlign w:val="center"/>
          </w:tcPr>
          <w:p w:rsidR="00C34A99" w:rsidRPr="00607022" w:rsidRDefault="008F2EB6" w:rsidP="00C34A99">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(615,636</w:t>
            </w:r>
            <w:r w:rsidR="00C34A99" w:rsidRPr="00607022">
              <w:rPr>
                <w:rFonts w:ascii="Times New Roman" w:hAnsi="Times New Roman" w:cs="Times New Roman"/>
                <w:b/>
                <w:bCs/>
                <w:sz w:val="20"/>
                <w:szCs w:val="20"/>
                <w:lang w:eastAsia="en-GB"/>
              </w:rPr>
              <w:t>)</w:t>
            </w:r>
          </w:p>
        </w:tc>
        <w:tc>
          <w:tcPr>
            <w:tcW w:w="27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b/>
                <w:bCs/>
                <w:sz w:val="20"/>
                <w:szCs w:val="20"/>
                <w:lang w:eastAsia="en-GB"/>
              </w:rPr>
            </w:pPr>
          </w:p>
        </w:tc>
        <w:tc>
          <w:tcPr>
            <w:tcW w:w="1574" w:type="dxa"/>
            <w:tcBorders>
              <w:top w:val="nil"/>
              <w:left w:val="nil"/>
              <w:bottom w:val="nil"/>
              <w:right w:val="nil"/>
            </w:tcBorders>
            <w:shd w:val="clear" w:color="auto" w:fill="auto"/>
            <w:vAlign w:val="center"/>
          </w:tcPr>
          <w:p w:rsidR="00C34A99" w:rsidRPr="00C34A99" w:rsidRDefault="00C34A99" w:rsidP="00C34A99">
            <w:pPr>
              <w:spacing w:after="0" w:line="240" w:lineRule="auto"/>
              <w:jc w:val="right"/>
              <w:rPr>
                <w:rFonts w:ascii="Times New Roman" w:hAnsi="Times New Roman" w:cs="Times New Roman"/>
                <w:bCs/>
                <w:sz w:val="20"/>
                <w:szCs w:val="20"/>
                <w:lang w:eastAsia="en-GB"/>
              </w:rPr>
            </w:pPr>
            <w:r w:rsidRPr="00C34A99">
              <w:rPr>
                <w:rFonts w:ascii="Times New Roman" w:hAnsi="Times New Roman" w:cs="Times New Roman"/>
                <w:bCs/>
                <w:sz w:val="20"/>
                <w:szCs w:val="20"/>
                <w:lang w:eastAsia="en-GB"/>
              </w:rPr>
              <w:t>(11,338,951)</w:t>
            </w:r>
          </w:p>
        </w:tc>
      </w:tr>
      <w:tr w:rsidR="00C34A99" w:rsidRPr="00607022" w:rsidTr="00361109">
        <w:trPr>
          <w:cantSplit/>
          <w:trHeight w:hRule="exact" w:val="429"/>
        </w:trPr>
        <w:tc>
          <w:tcPr>
            <w:tcW w:w="539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b/>
                <w:sz w:val="20"/>
                <w:szCs w:val="20"/>
                <w:lang w:eastAsia="en-GB"/>
              </w:rPr>
            </w:pPr>
            <w:r w:rsidRPr="00607022">
              <w:rPr>
                <w:rFonts w:ascii="Times New Roman" w:hAnsi="Times New Roman" w:cs="Times New Roman"/>
                <w:b/>
                <w:sz w:val="20"/>
                <w:szCs w:val="20"/>
                <w:lang w:eastAsia="en-GB"/>
              </w:rPr>
              <w:t>Adjustments for:</w:t>
            </w:r>
          </w:p>
        </w:tc>
        <w:tc>
          <w:tcPr>
            <w:tcW w:w="2000" w:type="dxa"/>
            <w:tcBorders>
              <w:top w:val="nil"/>
              <w:left w:val="nil"/>
              <w:bottom w:val="nil"/>
              <w:right w:val="nil"/>
            </w:tcBorders>
            <w:shd w:val="clear" w:color="auto" w:fill="auto"/>
            <w:noWrap/>
            <w:vAlign w:val="center"/>
          </w:tcPr>
          <w:p w:rsidR="00C34A99" w:rsidRPr="00607022" w:rsidRDefault="00C34A99" w:rsidP="00C34A99">
            <w:pPr>
              <w:spacing w:after="0" w:line="240" w:lineRule="auto"/>
              <w:jc w:val="right"/>
              <w:rPr>
                <w:rFonts w:ascii="Times New Roman" w:hAnsi="Times New Roman" w:cs="Times New Roman"/>
                <w:b/>
                <w:bCs/>
                <w:sz w:val="20"/>
                <w:szCs w:val="20"/>
                <w:lang w:eastAsia="en-GB"/>
              </w:rPr>
            </w:pPr>
          </w:p>
        </w:tc>
        <w:tc>
          <w:tcPr>
            <w:tcW w:w="27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b/>
                <w:bCs/>
                <w:sz w:val="20"/>
                <w:szCs w:val="20"/>
                <w:lang w:eastAsia="en-GB"/>
              </w:rPr>
            </w:pPr>
          </w:p>
        </w:tc>
        <w:tc>
          <w:tcPr>
            <w:tcW w:w="1574" w:type="dxa"/>
            <w:tcBorders>
              <w:top w:val="nil"/>
              <w:left w:val="nil"/>
              <w:bottom w:val="nil"/>
              <w:right w:val="nil"/>
            </w:tcBorders>
            <w:shd w:val="clear" w:color="auto" w:fill="auto"/>
            <w:vAlign w:val="center"/>
          </w:tcPr>
          <w:p w:rsidR="00C34A99" w:rsidRPr="00C34A99" w:rsidRDefault="00C34A99" w:rsidP="00C34A99">
            <w:pPr>
              <w:spacing w:after="0" w:line="240" w:lineRule="auto"/>
              <w:jc w:val="right"/>
              <w:rPr>
                <w:rFonts w:ascii="Times New Roman" w:hAnsi="Times New Roman" w:cs="Times New Roman"/>
                <w:bCs/>
                <w:sz w:val="20"/>
                <w:szCs w:val="20"/>
                <w:lang w:eastAsia="en-GB"/>
              </w:rPr>
            </w:pPr>
          </w:p>
        </w:tc>
      </w:tr>
      <w:tr w:rsidR="00C34A99" w:rsidRPr="00607022" w:rsidTr="00361109">
        <w:trPr>
          <w:cantSplit/>
          <w:trHeight w:hRule="exact" w:val="340"/>
        </w:trPr>
        <w:tc>
          <w:tcPr>
            <w:tcW w:w="539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sz w:val="20"/>
                <w:szCs w:val="20"/>
                <w:lang w:eastAsia="en-GB"/>
              </w:rPr>
            </w:pPr>
            <w:r w:rsidRPr="00607022">
              <w:rPr>
                <w:rFonts w:ascii="Times New Roman" w:hAnsi="Times New Roman" w:cs="Times New Roman"/>
                <w:sz w:val="20"/>
                <w:szCs w:val="20"/>
                <w:lang w:eastAsia="en-GB"/>
              </w:rPr>
              <w:t>Depreciation</w:t>
            </w:r>
          </w:p>
        </w:tc>
        <w:tc>
          <w:tcPr>
            <w:tcW w:w="2000" w:type="dxa"/>
            <w:tcBorders>
              <w:top w:val="nil"/>
              <w:left w:val="nil"/>
              <w:bottom w:val="nil"/>
              <w:right w:val="nil"/>
            </w:tcBorders>
            <w:shd w:val="clear" w:color="auto" w:fill="auto"/>
            <w:noWrap/>
            <w:vAlign w:val="center"/>
          </w:tcPr>
          <w:p w:rsidR="00C34A99" w:rsidRPr="00607022" w:rsidRDefault="008F2EB6" w:rsidP="00C34A99">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1,531</w:t>
            </w:r>
          </w:p>
        </w:tc>
        <w:tc>
          <w:tcPr>
            <w:tcW w:w="27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b/>
                <w:bCs/>
                <w:sz w:val="20"/>
                <w:szCs w:val="20"/>
                <w:highlight w:val="yellow"/>
                <w:lang w:eastAsia="en-GB"/>
              </w:rPr>
            </w:pPr>
          </w:p>
        </w:tc>
        <w:tc>
          <w:tcPr>
            <w:tcW w:w="1574" w:type="dxa"/>
            <w:tcBorders>
              <w:top w:val="nil"/>
              <w:left w:val="nil"/>
              <w:bottom w:val="nil"/>
              <w:right w:val="nil"/>
            </w:tcBorders>
            <w:shd w:val="clear" w:color="auto" w:fill="auto"/>
            <w:vAlign w:val="center"/>
          </w:tcPr>
          <w:p w:rsidR="00C34A99" w:rsidRPr="00C34A99" w:rsidRDefault="00C34A99" w:rsidP="00C34A99">
            <w:pPr>
              <w:spacing w:after="0" w:line="240" w:lineRule="auto"/>
              <w:jc w:val="right"/>
              <w:rPr>
                <w:rFonts w:ascii="Times New Roman" w:hAnsi="Times New Roman" w:cs="Times New Roman"/>
                <w:bCs/>
                <w:sz w:val="20"/>
                <w:szCs w:val="20"/>
                <w:lang w:eastAsia="en-GB"/>
              </w:rPr>
            </w:pPr>
            <w:r w:rsidRPr="00C34A99">
              <w:rPr>
                <w:rFonts w:ascii="Times New Roman" w:hAnsi="Times New Roman" w:cs="Times New Roman"/>
                <w:bCs/>
                <w:sz w:val="20"/>
                <w:szCs w:val="20"/>
                <w:lang w:eastAsia="en-GB"/>
              </w:rPr>
              <w:t>35,437</w:t>
            </w:r>
          </w:p>
        </w:tc>
      </w:tr>
      <w:tr w:rsidR="00C34A99" w:rsidRPr="00607022" w:rsidTr="00361109">
        <w:trPr>
          <w:cantSplit/>
          <w:trHeight w:hRule="exact" w:val="340"/>
        </w:trPr>
        <w:tc>
          <w:tcPr>
            <w:tcW w:w="539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sz w:val="20"/>
                <w:szCs w:val="20"/>
                <w:lang w:eastAsia="en-GB"/>
              </w:rPr>
            </w:pPr>
            <w:r w:rsidRPr="00607022">
              <w:rPr>
                <w:rFonts w:ascii="Times New Roman" w:hAnsi="Times New Roman" w:cs="Times New Roman"/>
                <w:sz w:val="20"/>
                <w:szCs w:val="20"/>
                <w:lang w:eastAsia="en-GB"/>
              </w:rPr>
              <w:t>Foreign exchange losses</w:t>
            </w:r>
          </w:p>
        </w:tc>
        <w:tc>
          <w:tcPr>
            <w:tcW w:w="2000" w:type="dxa"/>
            <w:tcBorders>
              <w:top w:val="nil"/>
              <w:left w:val="nil"/>
              <w:bottom w:val="nil"/>
              <w:right w:val="nil"/>
            </w:tcBorders>
            <w:shd w:val="clear" w:color="auto" w:fill="auto"/>
            <w:noWrap/>
            <w:vAlign w:val="center"/>
          </w:tcPr>
          <w:p w:rsidR="00C34A99" w:rsidRPr="00607022" w:rsidRDefault="008F2EB6" w:rsidP="00C34A99">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175,981</w:t>
            </w:r>
          </w:p>
        </w:tc>
        <w:tc>
          <w:tcPr>
            <w:tcW w:w="27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b/>
                <w:bCs/>
                <w:sz w:val="20"/>
                <w:szCs w:val="20"/>
                <w:highlight w:val="yellow"/>
                <w:lang w:eastAsia="en-GB"/>
              </w:rPr>
            </w:pPr>
          </w:p>
        </w:tc>
        <w:tc>
          <w:tcPr>
            <w:tcW w:w="1574" w:type="dxa"/>
            <w:tcBorders>
              <w:top w:val="nil"/>
              <w:left w:val="nil"/>
              <w:bottom w:val="nil"/>
              <w:right w:val="nil"/>
            </w:tcBorders>
            <w:shd w:val="clear" w:color="auto" w:fill="auto"/>
            <w:vAlign w:val="center"/>
          </w:tcPr>
          <w:p w:rsidR="00C34A99" w:rsidRPr="00C34A99" w:rsidRDefault="00C34A99" w:rsidP="00C34A99">
            <w:pPr>
              <w:spacing w:after="0" w:line="240" w:lineRule="auto"/>
              <w:jc w:val="right"/>
              <w:rPr>
                <w:rFonts w:ascii="Times New Roman" w:hAnsi="Times New Roman" w:cs="Times New Roman"/>
                <w:bCs/>
                <w:sz w:val="20"/>
                <w:szCs w:val="20"/>
                <w:lang w:eastAsia="en-GB"/>
              </w:rPr>
            </w:pPr>
            <w:r w:rsidRPr="00C34A99">
              <w:rPr>
                <w:rFonts w:ascii="Times New Roman" w:hAnsi="Times New Roman" w:cs="Times New Roman"/>
                <w:bCs/>
                <w:sz w:val="20"/>
                <w:szCs w:val="20"/>
                <w:lang w:eastAsia="en-GB"/>
              </w:rPr>
              <w:t>1,081,690</w:t>
            </w:r>
          </w:p>
        </w:tc>
      </w:tr>
      <w:tr w:rsidR="00C34A99" w:rsidRPr="00607022" w:rsidTr="00361109">
        <w:trPr>
          <w:cantSplit/>
          <w:trHeight w:hRule="exact" w:val="654"/>
        </w:trPr>
        <w:tc>
          <w:tcPr>
            <w:tcW w:w="5397" w:type="dxa"/>
            <w:tcBorders>
              <w:top w:val="nil"/>
              <w:left w:val="nil"/>
              <w:bottom w:val="nil"/>
              <w:right w:val="nil"/>
            </w:tcBorders>
            <w:shd w:val="clear" w:color="auto" w:fill="auto"/>
            <w:noWrap/>
            <w:vAlign w:val="bottom"/>
            <w:hideMark/>
          </w:tcPr>
          <w:p w:rsidR="00C34A99" w:rsidRPr="00607022" w:rsidRDefault="00C34A99" w:rsidP="00582B6E">
            <w:pPr>
              <w:spacing w:after="0" w:line="240" w:lineRule="auto"/>
              <w:rPr>
                <w:rFonts w:ascii="Times New Roman" w:hAnsi="Times New Roman" w:cs="Times New Roman"/>
                <w:sz w:val="20"/>
                <w:szCs w:val="20"/>
                <w:lang w:eastAsia="en-GB"/>
              </w:rPr>
            </w:pPr>
            <w:r w:rsidRPr="00607022">
              <w:rPr>
                <w:rFonts w:ascii="Times New Roman" w:hAnsi="Times New Roman" w:cs="Times New Roman"/>
                <w:sz w:val="20"/>
                <w:szCs w:val="20"/>
                <w:lang w:eastAsia="en-GB"/>
              </w:rPr>
              <w:t xml:space="preserve">Net unrealised losses on fair value investments through the </w:t>
            </w:r>
            <w:r w:rsidRPr="00607022">
              <w:rPr>
                <w:rFonts w:ascii="Times New Roman" w:hAnsi="Times New Roman" w:cs="Times New Roman"/>
                <w:sz w:val="20"/>
                <w:szCs w:val="20"/>
              </w:rPr>
              <w:t>profit or loss</w:t>
            </w:r>
          </w:p>
        </w:tc>
        <w:tc>
          <w:tcPr>
            <w:tcW w:w="2000" w:type="dxa"/>
            <w:tcBorders>
              <w:top w:val="nil"/>
              <w:left w:val="nil"/>
              <w:bottom w:val="nil"/>
              <w:right w:val="nil"/>
            </w:tcBorders>
            <w:shd w:val="clear" w:color="auto" w:fill="auto"/>
            <w:noWrap/>
            <w:vAlign w:val="bottom"/>
          </w:tcPr>
          <w:p w:rsidR="00C34A99" w:rsidRPr="00607022" w:rsidRDefault="008F2EB6" w:rsidP="00C34A99">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794,922</w:t>
            </w:r>
          </w:p>
        </w:tc>
        <w:tc>
          <w:tcPr>
            <w:tcW w:w="277" w:type="dxa"/>
            <w:tcBorders>
              <w:top w:val="nil"/>
              <w:left w:val="nil"/>
              <w:bottom w:val="nil"/>
              <w:right w:val="nil"/>
            </w:tcBorders>
            <w:shd w:val="clear" w:color="auto" w:fill="auto"/>
            <w:noWrap/>
            <w:vAlign w:val="bottom"/>
            <w:hideMark/>
          </w:tcPr>
          <w:p w:rsidR="00C34A99" w:rsidRPr="00607022" w:rsidRDefault="00C34A99" w:rsidP="00C34A99">
            <w:pPr>
              <w:spacing w:after="0" w:line="240" w:lineRule="auto"/>
              <w:rPr>
                <w:rFonts w:ascii="Times New Roman" w:hAnsi="Times New Roman" w:cs="Times New Roman"/>
                <w:b/>
                <w:bCs/>
                <w:sz w:val="20"/>
                <w:szCs w:val="20"/>
                <w:highlight w:val="yellow"/>
                <w:lang w:eastAsia="en-GB"/>
              </w:rPr>
            </w:pPr>
          </w:p>
        </w:tc>
        <w:tc>
          <w:tcPr>
            <w:tcW w:w="1574" w:type="dxa"/>
            <w:tcBorders>
              <w:top w:val="nil"/>
              <w:left w:val="nil"/>
              <w:bottom w:val="nil"/>
              <w:right w:val="nil"/>
            </w:tcBorders>
            <w:shd w:val="clear" w:color="auto" w:fill="auto"/>
            <w:vAlign w:val="bottom"/>
          </w:tcPr>
          <w:p w:rsidR="00C34A99" w:rsidRPr="00C34A99" w:rsidRDefault="00C34A99" w:rsidP="00C34A99">
            <w:pPr>
              <w:spacing w:after="0" w:line="240" w:lineRule="auto"/>
              <w:jc w:val="right"/>
              <w:rPr>
                <w:rFonts w:ascii="Times New Roman" w:hAnsi="Times New Roman" w:cs="Times New Roman"/>
                <w:bCs/>
                <w:sz w:val="20"/>
                <w:szCs w:val="20"/>
                <w:lang w:eastAsia="en-GB"/>
              </w:rPr>
            </w:pPr>
            <w:r w:rsidRPr="00C34A99">
              <w:rPr>
                <w:rFonts w:ascii="Times New Roman" w:hAnsi="Times New Roman" w:cs="Times New Roman"/>
                <w:bCs/>
                <w:sz w:val="20"/>
                <w:szCs w:val="20"/>
                <w:lang w:eastAsia="en-GB"/>
              </w:rPr>
              <w:t>5,225,469</w:t>
            </w:r>
          </w:p>
        </w:tc>
      </w:tr>
      <w:tr w:rsidR="00C34A99" w:rsidRPr="00607022" w:rsidTr="00361109">
        <w:trPr>
          <w:cantSplit/>
          <w:trHeight w:hRule="exact" w:val="340"/>
        </w:trPr>
        <w:tc>
          <w:tcPr>
            <w:tcW w:w="539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sz w:val="20"/>
                <w:szCs w:val="20"/>
                <w:lang w:eastAsia="en-GB"/>
              </w:rPr>
            </w:pPr>
            <w:r w:rsidRPr="00607022">
              <w:rPr>
                <w:rFonts w:ascii="Times New Roman" w:hAnsi="Times New Roman" w:cs="Times New Roman"/>
                <w:sz w:val="20"/>
                <w:szCs w:val="20"/>
                <w:lang w:eastAsia="en-GB"/>
              </w:rPr>
              <w:t>Finance costs</w:t>
            </w:r>
          </w:p>
        </w:tc>
        <w:tc>
          <w:tcPr>
            <w:tcW w:w="2000" w:type="dxa"/>
            <w:tcBorders>
              <w:top w:val="nil"/>
              <w:left w:val="nil"/>
              <w:bottom w:val="single" w:sz="4" w:space="0" w:color="auto"/>
              <w:right w:val="nil"/>
            </w:tcBorders>
            <w:shd w:val="clear" w:color="auto" w:fill="auto"/>
            <w:noWrap/>
            <w:vAlign w:val="center"/>
          </w:tcPr>
          <w:p w:rsidR="00C34A99" w:rsidRPr="00607022" w:rsidRDefault="00C34A99" w:rsidP="008F2EB6">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1,</w:t>
            </w:r>
            <w:r w:rsidR="008F2EB6">
              <w:rPr>
                <w:rFonts w:ascii="Times New Roman" w:hAnsi="Times New Roman" w:cs="Times New Roman"/>
                <w:b/>
                <w:bCs/>
                <w:sz w:val="20"/>
                <w:szCs w:val="20"/>
                <w:lang w:eastAsia="en-GB"/>
              </w:rPr>
              <w:t>183,987</w:t>
            </w:r>
          </w:p>
        </w:tc>
        <w:tc>
          <w:tcPr>
            <w:tcW w:w="277" w:type="dxa"/>
            <w:tcBorders>
              <w:top w:val="nil"/>
              <w:left w:val="nil"/>
              <w:bottom w:val="nil"/>
              <w:right w:val="nil"/>
            </w:tcBorders>
            <w:shd w:val="clear" w:color="auto" w:fill="auto"/>
            <w:noWrap/>
            <w:vAlign w:val="center"/>
            <w:hideMark/>
          </w:tcPr>
          <w:p w:rsidR="00C34A99" w:rsidRPr="00607022" w:rsidRDefault="00C34A99" w:rsidP="00C34A99">
            <w:pPr>
              <w:keepNext/>
              <w:keepLines/>
              <w:spacing w:after="0" w:line="240" w:lineRule="auto"/>
              <w:outlineLvl w:val="0"/>
              <w:rPr>
                <w:rFonts w:ascii="Times New Roman" w:hAnsi="Times New Roman" w:cs="Times New Roman"/>
                <w:b/>
                <w:bCs/>
                <w:sz w:val="20"/>
                <w:szCs w:val="20"/>
                <w:highlight w:val="yellow"/>
                <w:lang w:eastAsia="en-GB"/>
              </w:rPr>
            </w:pPr>
          </w:p>
        </w:tc>
        <w:tc>
          <w:tcPr>
            <w:tcW w:w="1574" w:type="dxa"/>
            <w:tcBorders>
              <w:top w:val="nil"/>
              <w:left w:val="nil"/>
              <w:bottom w:val="single" w:sz="4" w:space="0" w:color="auto"/>
              <w:right w:val="nil"/>
            </w:tcBorders>
            <w:shd w:val="clear" w:color="auto" w:fill="auto"/>
            <w:vAlign w:val="center"/>
          </w:tcPr>
          <w:p w:rsidR="00C34A99" w:rsidRPr="00C34A99" w:rsidRDefault="00C34A99" w:rsidP="00C34A99">
            <w:pPr>
              <w:spacing w:after="0" w:line="240" w:lineRule="auto"/>
              <w:jc w:val="right"/>
              <w:rPr>
                <w:rFonts w:ascii="Times New Roman" w:hAnsi="Times New Roman" w:cs="Times New Roman"/>
                <w:bCs/>
                <w:sz w:val="20"/>
                <w:szCs w:val="20"/>
                <w:lang w:eastAsia="en-GB"/>
              </w:rPr>
            </w:pPr>
            <w:r w:rsidRPr="00C34A99">
              <w:rPr>
                <w:rFonts w:ascii="Times New Roman" w:hAnsi="Times New Roman" w:cs="Times New Roman"/>
                <w:bCs/>
                <w:sz w:val="20"/>
                <w:szCs w:val="20"/>
                <w:lang w:eastAsia="en-GB"/>
              </w:rPr>
              <w:t>1,268,070</w:t>
            </w:r>
          </w:p>
        </w:tc>
      </w:tr>
      <w:tr w:rsidR="00C34A99" w:rsidRPr="00607022" w:rsidTr="00361109">
        <w:trPr>
          <w:cantSplit/>
          <w:trHeight w:hRule="exact" w:val="692"/>
        </w:trPr>
        <w:tc>
          <w:tcPr>
            <w:tcW w:w="5397" w:type="dxa"/>
            <w:tcBorders>
              <w:top w:val="nil"/>
              <w:left w:val="nil"/>
              <w:bottom w:val="nil"/>
              <w:right w:val="nil"/>
            </w:tcBorders>
            <w:shd w:val="clear" w:color="auto" w:fill="auto"/>
            <w:noWrap/>
            <w:hideMark/>
          </w:tcPr>
          <w:p w:rsidR="00C34A99" w:rsidRPr="00607022" w:rsidRDefault="00C34A99" w:rsidP="00C34A99">
            <w:pPr>
              <w:spacing w:after="0" w:line="240" w:lineRule="auto"/>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Cash flow from operations before changes in working capital</w:t>
            </w:r>
          </w:p>
        </w:tc>
        <w:tc>
          <w:tcPr>
            <w:tcW w:w="2000" w:type="dxa"/>
            <w:tcBorders>
              <w:top w:val="nil"/>
              <w:left w:val="nil"/>
              <w:bottom w:val="nil"/>
              <w:right w:val="nil"/>
            </w:tcBorders>
            <w:shd w:val="clear" w:color="auto" w:fill="auto"/>
            <w:noWrap/>
          </w:tcPr>
          <w:p w:rsidR="00C34A99" w:rsidRPr="00607022" w:rsidRDefault="008F2EB6" w:rsidP="00C34A99">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1,540,785</w:t>
            </w:r>
          </w:p>
        </w:tc>
        <w:tc>
          <w:tcPr>
            <w:tcW w:w="277" w:type="dxa"/>
            <w:tcBorders>
              <w:top w:val="nil"/>
              <w:left w:val="nil"/>
              <w:bottom w:val="nil"/>
              <w:right w:val="nil"/>
            </w:tcBorders>
            <w:shd w:val="clear" w:color="auto" w:fill="auto"/>
            <w:noWrap/>
            <w:hideMark/>
          </w:tcPr>
          <w:p w:rsidR="00C34A99" w:rsidRPr="00607022" w:rsidRDefault="00C34A99" w:rsidP="00C34A99">
            <w:pPr>
              <w:spacing w:after="0" w:line="240" w:lineRule="auto"/>
              <w:rPr>
                <w:rFonts w:ascii="Times New Roman" w:hAnsi="Times New Roman" w:cs="Times New Roman"/>
                <w:sz w:val="20"/>
                <w:szCs w:val="20"/>
                <w:highlight w:val="yellow"/>
                <w:lang w:eastAsia="en-GB"/>
              </w:rPr>
            </w:pPr>
          </w:p>
        </w:tc>
        <w:tc>
          <w:tcPr>
            <w:tcW w:w="1574" w:type="dxa"/>
            <w:tcBorders>
              <w:top w:val="nil"/>
              <w:left w:val="nil"/>
              <w:bottom w:val="nil"/>
              <w:right w:val="nil"/>
            </w:tcBorders>
            <w:shd w:val="clear" w:color="auto" w:fill="auto"/>
          </w:tcPr>
          <w:p w:rsidR="00C34A99" w:rsidRPr="00C34A99" w:rsidRDefault="00C34A99" w:rsidP="00C34A99">
            <w:pPr>
              <w:spacing w:after="0" w:line="240" w:lineRule="auto"/>
              <w:jc w:val="right"/>
              <w:rPr>
                <w:rFonts w:ascii="Times New Roman" w:hAnsi="Times New Roman" w:cs="Times New Roman"/>
                <w:bCs/>
                <w:sz w:val="20"/>
                <w:szCs w:val="20"/>
                <w:lang w:eastAsia="en-GB"/>
              </w:rPr>
            </w:pPr>
            <w:r w:rsidRPr="00C34A99">
              <w:rPr>
                <w:rFonts w:ascii="Times New Roman" w:hAnsi="Times New Roman" w:cs="Times New Roman"/>
                <w:bCs/>
                <w:sz w:val="20"/>
                <w:szCs w:val="20"/>
                <w:lang w:eastAsia="en-GB"/>
              </w:rPr>
              <w:t>(3,728,285)</w:t>
            </w:r>
          </w:p>
        </w:tc>
      </w:tr>
      <w:tr w:rsidR="00C34A99" w:rsidRPr="00607022" w:rsidTr="00361109">
        <w:trPr>
          <w:cantSplit/>
          <w:trHeight w:hRule="exact" w:val="340"/>
        </w:trPr>
        <w:tc>
          <w:tcPr>
            <w:tcW w:w="539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sz w:val="20"/>
                <w:szCs w:val="20"/>
                <w:highlight w:val="yellow"/>
                <w:lang w:eastAsia="en-GB"/>
              </w:rPr>
            </w:pPr>
          </w:p>
        </w:tc>
        <w:tc>
          <w:tcPr>
            <w:tcW w:w="2000" w:type="dxa"/>
            <w:tcBorders>
              <w:top w:val="nil"/>
              <w:left w:val="nil"/>
              <w:bottom w:val="nil"/>
              <w:right w:val="nil"/>
            </w:tcBorders>
            <w:shd w:val="clear" w:color="auto" w:fill="auto"/>
            <w:noWrap/>
            <w:vAlign w:val="center"/>
          </w:tcPr>
          <w:p w:rsidR="00C34A99" w:rsidRPr="00607022" w:rsidRDefault="00C34A99" w:rsidP="00C34A99">
            <w:pPr>
              <w:spacing w:after="0" w:line="240" w:lineRule="auto"/>
              <w:rPr>
                <w:rFonts w:ascii="Times New Roman" w:hAnsi="Times New Roman" w:cs="Times New Roman"/>
                <w:b/>
                <w:bCs/>
                <w:sz w:val="20"/>
                <w:szCs w:val="20"/>
                <w:lang w:eastAsia="en-GB"/>
              </w:rPr>
            </w:pPr>
          </w:p>
        </w:tc>
        <w:tc>
          <w:tcPr>
            <w:tcW w:w="27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sz w:val="20"/>
                <w:szCs w:val="20"/>
                <w:highlight w:val="yellow"/>
                <w:lang w:eastAsia="en-GB"/>
              </w:rPr>
            </w:pPr>
          </w:p>
        </w:tc>
        <w:tc>
          <w:tcPr>
            <w:tcW w:w="1574" w:type="dxa"/>
            <w:tcBorders>
              <w:top w:val="nil"/>
              <w:left w:val="nil"/>
              <w:bottom w:val="nil"/>
              <w:right w:val="nil"/>
            </w:tcBorders>
            <w:shd w:val="clear" w:color="auto" w:fill="auto"/>
            <w:vAlign w:val="center"/>
          </w:tcPr>
          <w:p w:rsidR="00C34A99" w:rsidRPr="00C34A99" w:rsidRDefault="00C34A99" w:rsidP="00C34A99">
            <w:pPr>
              <w:spacing w:after="0" w:line="240" w:lineRule="auto"/>
              <w:rPr>
                <w:rFonts w:ascii="Times New Roman" w:hAnsi="Times New Roman" w:cs="Times New Roman"/>
                <w:bCs/>
                <w:sz w:val="20"/>
                <w:szCs w:val="20"/>
                <w:lang w:eastAsia="en-GB"/>
              </w:rPr>
            </w:pPr>
          </w:p>
        </w:tc>
      </w:tr>
      <w:tr w:rsidR="00C34A99" w:rsidRPr="00607022" w:rsidTr="00582B6E">
        <w:trPr>
          <w:cantSplit/>
          <w:trHeight w:hRule="exact" w:val="458"/>
        </w:trPr>
        <w:tc>
          <w:tcPr>
            <w:tcW w:w="539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sz w:val="20"/>
                <w:szCs w:val="20"/>
                <w:lang w:eastAsia="en-GB"/>
              </w:rPr>
            </w:pPr>
            <w:r w:rsidRPr="00607022">
              <w:rPr>
                <w:rFonts w:ascii="Times New Roman" w:hAnsi="Times New Roman" w:cs="Times New Roman"/>
                <w:sz w:val="20"/>
                <w:szCs w:val="20"/>
                <w:lang w:eastAsia="en-GB"/>
              </w:rPr>
              <w:t xml:space="preserve">Movement in financial assets at fair value through the </w:t>
            </w:r>
            <w:r w:rsidRPr="00607022">
              <w:rPr>
                <w:rFonts w:ascii="Times New Roman" w:hAnsi="Times New Roman" w:cs="Times New Roman"/>
                <w:sz w:val="20"/>
                <w:szCs w:val="20"/>
              </w:rPr>
              <w:t>profit or</w:t>
            </w:r>
            <w:r w:rsidR="00582B6E">
              <w:rPr>
                <w:rFonts w:ascii="Times New Roman" w:hAnsi="Times New Roman" w:cs="Times New Roman"/>
                <w:sz w:val="20"/>
                <w:szCs w:val="20"/>
              </w:rPr>
              <w:t xml:space="preserve"> loss</w:t>
            </w:r>
          </w:p>
        </w:tc>
        <w:tc>
          <w:tcPr>
            <w:tcW w:w="2000" w:type="dxa"/>
            <w:tcBorders>
              <w:top w:val="nil"/>
              <w:left w:val="nil"/>
              <w:bottom w:val="nil"/>
              <w:right w:val="nil"/>
            </w:tcBorders>
            <w:shd w:val="clear" w:color="auto" w:fill="auto"/>
            <w:noWrap/>
            <w:vAlign w:val="center"/>
          </w:tcPr>
          <w:p w:rsidR="00C34A99" w:rsidRPr="00607022" w:rsidRDefault="008F2EB6" w:rsidP="00C34A99">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4,870,655</w:t>
            </w:r>
          </w:p>
        </w:tc>
        <w:tc>
          <w:tcPr>
            <w:tcW w:w="27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C34A99" w:rsidRPr="00C34A99" w:rsidRDefault="00C34A99" w:rsidP="00C34A99">
            <w:pPr>
              <w:spacing w:after="0" w:line="240" w:lineRule="auto"/>
              <w:jc w:val="right"/>
              <w:rPr>
                <w:rFonts w:ascii="Times New Roman" w:hAnsi="Times New Roman" w:cs="Times New Roman"/>
                <w:bCs/>
                <w:sz w:val="20"/>
                <w:szCs w:val="20"/>
                <w:lang w:eastAsia="en-GB"/>
              </w:rPr>
            </w:pPr>
            <w:r w:rsidRPr="00C34A99">
              <w:rPr>
                <w:rFonts w:ascii="Times New Roman" w:hAnsi="Times New Roman" w:cs="Times New Roman"/>
                <w:bCs/>
                <w:sz w:val="20"/>
                <w:szCs w:val="20"/>
                <w:lang w:eastAsia="en-GB"/>
              </w:rPr>
              <w:t>16,087,375</w:t>
            </w:r>
          </w:p>
        </w:tc>
      </w:tr>
      <w:tr w:rsidR="00C34A99" w:rsidRPr="00607022" w:rsidTr="00361109">
        <w:trPr>
          <w:cantSplit/>
          <w:trHeight w:hRule="exact" w:val="340"/>
        </w:trPr>
        <w:tc>
          <w:tcPr>
            <w:tcW w:w="5397" w:type="dxa"/>
            <w:tcBorders>
              <w:top w:val="nil"/>
              <w:left w:val="nil"/>
              <w:bottom w:val="nil"/>
              <w:right w:val="nil"/>
            </w:tcBorders>
            <w:shd w:val="clear" w:color="auto" w:fill="auto"/>
            <w:noWrap/>
            <w:vAlign w:val="center"/>
            <w:hideMark/>
          </w:tcPr>
          <w:p w:rsidR="00C34A99" w:rsidRPr="00607022" w:rsidRDefault="00582B6E" w:rsidP="00582B6E">
            <w:pPr>
              <w:spacing w:after="0" w:line="240" w:lineRule="auto"/>
              <w:rPr>
                <w:rFonts w:ascii="Times New Roman" w:hAnsi="Times New Roman" w:cs="Times New Roman"/>
                <w:sz w:val="20"/>
                <w:szCs w:val="20"/>
                <w:lang w:eastAsia="en-GB"/>
              </w:rPr>
            </w:pPr>
            <w:r>
              <w:rPr>
                <w:rFonts w:ascii="Times New Roman" w:hAnsi="Times New Roman" w:cs="Times New Roman"/>
                <w:sz w:val="20"/>
                <w:szCs w:val="20"/>
                <w:lang w:eastAsia="en-GB"/>
              </w:rPr>
              <w:t>De</w:t>
            </w:r>
            <w:r w:rsidR="00C34A99" w:rsidRPr="00607022">
              <w:rPr>
                <w:rFonts w:ascii="Times New Roman" w:hAnsi="Times New Roman" w:cs="Times New Roman"/>
                <w:sz w:val="20"/>
                <w:szCs w:val="20"/>
                <w:lang w:eastAsia="en-GB"/>
              </w:rPr>
              <w:t xml:space="preserve">crease / </w:t>
            </w:r>
            <w:r>
              <w:rPr>
                <w:rFonts w:ascii="Times New Roman" w:hAnsi="Times New Roman" w:cs="Times New Roman"/>
                <w:sz w:val="20"/>
                <w:szCs w:val="20"/>
                <w:lang w:eastAsia="en-GB"/>
              </w:rPr>
              <w:t>(in</w:t>
            </w:r>
            <w:r w:rsidR="00C34A99" w:rsidRPr="00607022">
              <w:rPr>
                <w:rFonts w:ascii="Times New Roman" w:hAnsi="Times New Roman" w:cs="Times New Roman"/>
                <w:sz w:val="20"/>
                <w:szCs w:val="20"/>
                <w:lang w:eastAsia="en-GB"/>
              </w:rPr>
              <w:t>crease</w:t>
            </w:r>
            <w:r>
              <w:rPr>
                <w:rFonts w:ascii="Times New Roman" w:hAnsi="Times New Roman" w:cs="Times New Roman"/>
                <w:sz w:val="20"/>
                <w:szCs w:val="20"/>
                <w:lang w:eastAsia="en-GB"/>
              </w:rPr>
              <w:t>)</w:t>
            </w:r>
            <w:r w:rsidR="00C34A99" w:rsidRPr="00607022">
              <w:rPr>
                <w:rFonts w:ascii="Times New Roman" w:hAnsi="Times New Roman" w:cs="Times New Roman"/>
                <w:sz w:val="20"/>
                <w:szCs w:val="20"/>
                <w:lang w:eastAsia="en-GB"/>
              </w:rPr>
              <w:t xml:space="preserve"> in trade and other receivables</w:t>
            </w:r>
          </w:p>
        </w:tc>
        <w:tc>
          <w:tcPr>
            <w:tcW w:w="2000" w:type="dxa"/>
            <w:tcBorders>
              <w:top w:val="nil"/>
              <w:left w:val="nil"/>
              <w:bottom w:val="nil"/>
              <w:right w:val="nil"/>
            </w:tcBorders>
            <w:shd w:val="clear" w:color="auto" w:fill="auto"/>
            <w:noWrap/>
            <w:vAlign w:val="center"/>
          </w:tcPr>
          <w:p w:rsidR="00C34A99" w:rsidRPr="00607022" w:rsidRDefault="008F2EB6" w:rsidP="00C34A99">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1,442,045</w:t>
            </w:r>
          </w:p>
        </w:tc>
        <w:tc>
          <w:tcPr>
            <w:tcW w:w="27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C34A99" w:rsidRPr="00C34A99" w:rsidRDefault="00C34A99" w:rsidP="00C34A99">
            <w:pPr>
              <w:spacing w:after="0" w:line="240" w:lineRule="auto"/>
              <w:jc w:val="right"/>
              <w:rPr>
                <w:rFonts w:ascii="Times New Roman" w:hAnsi="Times New Roman" w:cs="Times New Roman"/>
                <w:bCs/>
                <w:sz w:val="20"/>
                <w:szCs w:val="20"/>
                <w:lang w:eastAsia="en-GB"/>
              </w:rPr>
            </w:pPr>
            <w:r w:rsidRPr="00C34A99">
              <w:rPr>
                <w:rFonts w:ascii="Times New Roman" w:hAnsi="Times New Roman" w:cs="Times New Roman"/>
                <w:bCs/>
                <w:sz w:val="20"/>
                <w:szCs w:val="20"/>
                <w:lang w:eastAsia="en-GB"/>
              </w:rPr>
              <w:t>(460,166)</w:t>
            </w:r>
          </w:p>
        </w:tc>
      </w:tr>
      <w:tr w:rsidR="00C34A99" w:rsidRPr="00607022" w:rsidTr="00361109">
        <w:trPr>
          <w:cantSplit/>
          <w:trHeight w:hRule="exact" w:val="340"/>
        </w:trPr>
        <w:tc>
          <w:tcPr>
            <w:tcW w:w="539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sz w:val="20"/>
                <w:szCs w:val="20"/>
                <w:lang w:eastAsia="en-GB"/>
              </w:rPr>
            </w:pPr>
            <w:r w:rsidRPr="00607022">
              <w:rPr>
                <w:rFonts w:ascii="Times New Roman" w:hAnsi="Times New Roman" w:cs="Times New Roman"/>
                <w:sz w:val="20"/>
                <w:szCs w:val="20"/>
                <w:lang w:eastAsia="en-GB"/>
              </w:rPr>
              <w:t>Decrease in trade and other payables</w:t>
            </w:r>
          </w:p>
        </w:tc>
        <w:tc>
          <w:tcPr>
            <w:tcW w:w="2000" w:type="dxa"/>
            <w:tcBorders>
              <w:top w:val="nil"/>
              <w:left w:val="nil"/>
              <w:bottom w:val="single" w:sz="4" w:space="0" w:color="auto"/>
              <w:right w:val="nil"/>
            </w:tcBorders>
            <w:shd w:val="clear" w:color="auto" w:fill="auto"/>
            <w:noWrap/>
            <w:vAlign w:val="center"/>
          </w:tcPr>
          <w:p w:rsidR="00C34A99" w:rsidRPr="00607022" w:rsidRDefault="00C34A99" w:rsidP="008F2EB6">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w:t>
            </w:r>
            <w:r w:rsidR="008F2EB6">
              <w:rPr>
                <w:rFonts w:ascii="Times New Roman" w:hAnsi="Times New Roman" w:cs="Times New Roman"/>
                <w:b/>
                <w:bCs/>
                <w:sz w:val="20"/>
                <w:szCs w:val="20"/>
                <w:lang w:eastAsia="en-GB"/>
              </w:rPr>
              <w:t>7,673</w:t>
            </w:r>
            <w:r w:rsidRPr="00607022">
              <w:rPr>
                <w:rFonts w:ascii="Times New Roman" w:hAnsi="Times New Roman" w:cs="Times New Roman"/>
                <w:b/>
                <w:bCs/>
                <w:sz w:val="20"/>
                <w:szCs w:val="20"/>
                <w:lang w:eastAsia="en-GB"/>
              </w:rPr>
              <w:t>)</w:t>
            </w:r>
          </w:p>
        </w:tc>
        <w:tc>
          <w:tcPr>
            <w:tcW w:w="27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sz w:val="20"/>
                <w:szCs w:val="20"/>
                <w:lang w:eastAsia="en-GB"/>
              </w:rPr>
            </w:pPr>
          </w:p>
        </w:tc>
        <w:tc>
          <w:tcPr>
            <w:tcW w:w="1574" w:type="dxa"/>
            <w:tcBorders>
              <w:top w:val="nil"/>
              <w:left w:val="nil"/>
              <w:bottom w:val="single" w:sz="4" w:space="0" w:color="auto"/>
              <w:right w:val="nil"/>
            </w:tcBorders>
            <w:shd w:val="clear" w:color="auto" w:fill="auto"/>
            <w:vAlign w:val="center"/>
          </w:tcPr>
          <w:p w:rsidR="00C34A99" w:rsidRPr="00C34A99" w:rsidRDefault="00C34A99" w:rsidP="00C34A99">
            <w:pPr>
              <w:spacing w:after="0" w:line="240" w:lineRule="auto"/>
              <w:jc w:val="right"/>
              <w:rPr>
                <w:rFonts w:ascii="Times New Roman" w:hAnsi="Times New Roman" w:cs="Times New Roman"/>
                <w:bCs/>
                <w:sz w:val="20"/>
                <w:szCs w:val="20"/>
                <w:lang w:eastAsia="en-GB"/>
              </w:rPr>
            </w:pPr>
            <w:r w:rsidRPr="00C34A99">
              <w:rPr>
                <w:rFonts w:ascii="Times New Roman" w:hAnsi="Times New Roman" w:cs="Times New Roman"/>
                <w:bCs/>
                <w:sz w:val="20"/>
                <w:szCs w:val="20"/>
                <w:lang w:eastAsia="en-GB"/>
              </w:rPr>
              <w:t>(487,825)</w:t>
            </w:r>
          </w:p>
        </w:tc>
      </w:tr>
      <w:tr w:rsidR="00C34A99" w:rsidRPr="00607022" w:rsidTr="00361109">
        <w:trPr>
          <w:cantSplit/>
          <w:trHeight w:hRule="exact" w:val="340"/>
        </w:trPr>
        <w:tc>
          <w:tcPr>
            <w:tcW w:w="539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Cash flow from operations</w:t>
            </w:r>
          </w:p>
        </w:tc>
        <w:tc>
          <w:tcPr>
            <w:tcW w:w="2000" w:type="dxa"/>
            <w:tcBorders>
              <w:top w:val="nil"/>
              <w:left w:val="nil"/>
              <w:bottom w:val="nil"/>
              <w:right w:val="nil"/>
            </w:tcBorders>
            <w:shd w:val="clear" w:color="auto" w:fill="auto"/>
            <w:noWrap/>
            <w:vAlign w:val="center"/>
          </w:tcPr>
          <w:p w:rsidR="00C34A99" w:rsidRPr="00607022" w:rsidRDefault="008F2EB6" w:rsidP="00C34A99">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7,845,812</w:t>
            </w:r>
          </w:p>
        </w:tc>
        <w:tc>
          <w:tcPr>
            <w:tcW w:w="27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C34A99" w:rsidRPr="00C34A99" w:rsidRDefault="00C34A99" w:rsidP="00C34A99">
            <w:pPr>
              <w:spacing w:after="0" w:line="240" w:lineRule="auto"/>
              <w:jc w:val="right"/>
              <w:rPr>
                <w:rFonts w:ascii="Times New Roman" w:hAnsi="Times New Roman" w:cs="Times New Roman"/>
                <w:bCs/>
                <w:sz w:val="20"/>
                <w:szCs w:val="20"/>
                <w:lang w:eastAsia="en-GB"/>
              </w:rPr>
            </w:pPr>
            <w:r w:rsidRPr="00C34A99">
              <w:rPr>
                <w:rFonts w:ascii="Times New Roman" w:hAnsi="Times New Roman" w:cs="Times New Roman"/>
                <w:bCs/>
                <w:sz w:val="20"/>
                <w:szCs w:val="20"/>
                <w:lang w:eastAsia="en-GB"/>
              </w:rPr>
              <w:t>11,411,099</w:t>
            </w:r>
          </w:p>
        </w:tc>
      </w:tr>
      <w:tr w:rsidR="00C34A99" w:rsidRPr="00607022" w:rsidTr="00361109">
        <w:trPr>
          <w:cantSplit/>
          <w:trHeight w:hRule="exact" w:val="340"/>
        </w:trPr>
        <w:tc>
          <w:tcPr>
            <w:tcW w:w="539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sz w:val="20"/>
                <w:szCs w:val="20"/>
                <w:highlight w:val="yellow"/>
                <w:lang w:eastAsia="en-GB"/>
              </w:rPr>
            </w:pPr>
          </w:p>
        </w:tc>
        <w:tc>
          <w:tcPr>
            <w:tcW w:w="2000" w:type="dxa"/>
            <w:tcBorders>
              <w:top w:val="nil"/>
              <w:left w:val="nil"/>
              <w:bottom w:val="nil"/>
              <w:right w:val="nil"/>
            </w:tcBorders>
            <w:shd w:val="clear" w:color="auto" w:fill="auto"/>
            <w:noWrap/>
            <w:vAlign w:val="center"/>
          </w:tcPr>
          <w:p w:rsidR="00C34A99" w:rsidRPr="00607022" w:rsidRDefault="00C34A99" w:rsidP="00C34A99">
            <w:pPr>
              <w:spacing w:after="0" w:line="240" w:lineRule="auto"/>
              <w:jc w:val="right"/>
              <w:rPr>
                <w:rFonts w:ascii="Times New Roman" w:hAnsi="Times New Roman" w:cs="Times New Roman"/>
                <w:b/>
                <w:bCs/>
                <w:sz w:val="20"/>
                <w:szCs w:val="20"/>
                <w:lang w:eastAsia="en-GB"/>
              </w:rPr>
            </w:pPr>
          </w:p>
        </w:tc>
        <w:tc>
          <w:tcPr>
            <w:tcW w:w="27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sz w:val="20"/>
                <w:szCs w:val="20"/>
                <w:highlight w:val="yellow"/>
                <w:lang w:eastAsia="en-GB"/>
              </w:rPr>
            </w:pPr>
          </w:p>
        </w:tc>
        <w:tc>
          <w:tcPr>
            <w:tcW w:w="1574" w:type="dxa"/>
            <w:tcBorders>
              <w:top w:val="nil"/>
              <w:left w:val="nil"/>
              <w:bottom w:val="nil"/>
              <w:right w:val="nil"/>
            </w:tcBorders>
            <w:shd w:val="clear" w:color="auto" w:fill="auto"/>
            <w:vAlign w:val="center"/>
          </w:tcPr>
          <w:p w:rsidR="00C34A99" w:rsidRPr="00C34A99" w:rsidRDefault="00C34A99" w:rsidP="00C34A99">
            <w:pPr>
              <w:spacing w:after="0" w:line="240" w:lineRule="auto"/>
              <w:jc w:val="right"/>
              <w:rPr>
                <w:rFonts w:ascii="Times New Roman" w:hAnsi="Times New Roman" w:cs="Times New Roman"/>
                <w:bCs/>
                <w:sz w:val="20"/>
                <w:szCs w:val="20"/>
                <w:lang w:eastAsia="en-GB"/>
              </w:rPr>
            </w:pPr>
          </w:p>
        </w:tc>
      </w:tr>
      <w:tr w:rsidR="00C34A99" w:rsidRPr="00607022" w:rsidTr="00361109">
        <w:trPr>
          <w:cantSplit/>
          <w:trHeight w:hRule="exact" w:val="340"/>
        </w:trPr>
        <w:tc>
          <w:tcPr>
            <w:tcW w:w="5397" w:type="dxa"/>
            <w:tcBorders>
              <w:top w:val="nil"/>
              <w:left w:val="nil"/>
              <w:bottom w:val="nil"/>
              <w:right w:val="nil"/>
            </w:tcBorders>
            <w:shd w:val="clear" w:color="auto" w:fill="auto"/>
            <w:noWrap/>
            <w:vAlign w:val="center"/>
            <w:hideMark/>
          </w:tcPr>
          <w:p w:rsidR="00C34A99" w:rsidRPr="00607022" w:rsidRDefault="00C34A99" w:rsidP="00582B6E">
            <w:pPr>
              <w:spacing w:after="0" w:line="240" w:lineRule="auto"/>
              <w:rPr>
                <w:rFonts w:ascii="Times New Roman" w:hAnsi="Times New Roman" w:cs="Times New Roman"/>
                <w:sz w:val="20"/>
                <w:szCs w:val="20"/>
                <w:lang w:eastAsia="en-GB"/>
              </w:rPr>
            </w:pPr>
            <w:r w:rsidRPr="00607022">
              <w:rPr>
                <w:rFonts w:ascii="Times New Roman" w:hAnsi="Times New Roman" w:cs="Times New Roman"/>
                <w:sz w:val="20"/>
                <w:szCs w:val="20"/>
                <w:lang w:eastAsia="en-GB"/>
              </w:rPr>
              <w:t>Income taxes paid</w:t>
            </w:r>
          </w:p>
        </w:tc>
        <w:tc>
          <w:tcPr>
            <w:tcW w:w="2000" w:type="dxa"/>
            <w:tcBorders>
              <w:top w:val="nil"/>
              <w:left w:val="nil"/>
              <w:bottom w:val="single" w:sz="4" w:space="0" w:color="auto"/>
              <w:right w:val="nil"/>
            </w:tcBorders>
            <w:shd w:val="clear" w:color="auto" w:fill="auto"/>
            <w:noWrap/>
            <w:vAlign w:val="center"/>
          </w:tcPr>
          <w:p w:rsidR="00C34A99" w:rsidRPr="00607022" w:rsidRDefault="00C34A99" w:rsidP="008F2EB6">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w:t>
            </w:r>
            <w:r w:rsidR="008F2EB6">
              <w:rPr>
                <w:rFonts w:ascii="Times New Roman" w:hAnsi="Times New Roman" w:cs="Times New Roman"/>
                <w:b/>
                <w:bCs/>
                <w:sz w:val="20"/>
                <w:szCs w:val="20"/>
                <w:lang w:eastAsia="en-GB"/>
              </w:rPr>
              <w:t>386,106</w:t>
            </w:r>
            <w:r w:rsidRPr="00607022">
              <w:rPr>
                <w:rFonts w:ascii="Times New Roman" w:hAnsi="Times New Roman" w:cs="Times New Roman"/>
                <w:b/>
                <w:bCs/>
                <w:sz w:val="20"/>
                <w:szCs w:val="20"/>
                <w:lang w:eastAsia="en-GB"/>
              </w:rPr>
              <w:t>)</w:t>
            </w:r>
          </w:p>
        </w:tc>
        <w:tc>
          <w:tcPr>
            <w:tcW w:w="27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sz w:val="20"/>
                <w:szCs w:val="20"/>
                <w:lang w:eastAsia="en-GB"/>
              </w:rPr>
            </w:pPr>
          </w:p>
        </w:tc>
        <w:tc>
          <w:tcPr>
            <w:tcW w:w="1574" w:type="dxa"/>
            <w:tcBorders>
              <w:top w:val="nil"/>
              <w:left w:val="nil"/>
              <w:bottom w:val="single" w:sz="4" w:space="0" w:color="auto"/>
              <w:right w:val="nil"/>
            </w:tcBorders>
            <w:shd w:val="clear" w:color="auto" w:fill="auto"/>
            <w:vAlign w:val="center"/>
          </w:tcPr>
          <w:p w:rsidR="00C34A99" w:rsidRPr="00C34A99" w:rsidRDefault="00C34A99" w:rsidP="00C34A99">
            <w:pPr>
              <w:spacing w:after="0" w:line="240" w:lineRule="auto"/>
              <w:jc w:val="right"/>
              <w:rPr>
                <w:rFonts w:ascii="Times New Roman" w:hAnsi="Times New Roman" w:cs="Times New Roman"/>
                <w:bCs/>
                <w:sz w:val="20"/>
                <w:szCs w:val="20"/>
                <w:lang w:eastAsia="en-GB"/>
              </w:rPr>
            </w:pPr>
            <w:r w:rsidRPr="00C34A99">
              <w:rPr>
                <w:rFonts w:ascii="Times New Roman" w:hAnsi="Times New Roman" w:cs="Times New Roman"/>
                <w:bCs/>
                <w:sz w:val="20"/>
                <w:szCs w:val="20"/>
                <w:lang w:eastAsia="en-GB"/>
              </w:rPr>
              <w:t>(251,674)</w:t>
            </w:r>
          </w:p>
        </w:tc>
      </w:tr>
      <w:tr w:rsidR="00C34A99" w:rsidRPr="00607022" w:rsidTr="00361109">
        <w:trPr>
          <w:cantSplit/>
          <w:trHeight w:hRule="exact" w:val="340"/>
        </w:trPr>
        <w:tc>
          <w:tcPr>
            <w:tcW w:w="539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Cash flow from operating activities</w:t>
            </w:r>
          </w:p>
        </w:tc>
        <w:tc>
          <w:tcPr>
            <w:tcW w:w="2000" w:type="dxa"/>
            <w:tcBorders>
              <w:top w:val="nil"/>
              <w:left w:val="nil"/>
              <w:bottom w:val="nil"/>
              <w:right w:val="nil"/>
            </w:tcBorders>
            <w:shd w:val="clear" w:color="auto" w:fill="auto"/>
            <w:noWrap/>
            <w:vAlign w:val="center"/>
          </w:tcPr>
          <w:p w:rsidR="00C34A99" w:rsidRPr="00607022" w:rsidRDefault="008F2EB6" w:rsidP="003B1479">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7,459</w:t>
            </w:r>
            <w:r w:rsidR="003B1479">
              <w:rPr>
                <w:rFonts w:ascii="Times New Roman" w:hAnsi="Times New Roman" w:cs="Times New Roman"/>
                <w:b/>
                <w:bCs/>
                <w:sz w:val="20"/>
                <w:szCs w:val="20"/>
                <w:lang w:eastAsia="en-GB"/>
              </w:rPr>
              <w:t>,</w:t>
            </w:r>
            <w:r>
              <w:rPr>
                <w:rFonts w:ascii="Times New Roman" w:hAnsi="Times New Roman" w:cs="Times New Roman"/>
                <w:b/>
                <w:bCs/>
                <w:sz w:val="20"/>
                <w:szCs w:val="20"/>
                <w:lang w:eastAsia="en-GB"/>
              </w:rPr>
              <w:t>706</w:t>
            </w:r>
          </w:p>
        </w:tc>
        <w:tc>
          <w:tcPr>
            <w:tcW w:w="27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C34A99" w:rsidRPr="00C34A99" w:rsidRDefault="00C34A99" w:rsidP="00C34A99">
            <w:pPr>
              <w:spacing w:after="0" w:line="240" w:lineRule="auto"/>
              <w:jc w:val="right"/>
              <w:rPr>
                <w:rFonts w:ascii="Times New Roman" w:hAnsi="Times New Roman" w:cs="Times New Roman"/>
                <w:bCs/>
                <w:sz w:val="20"/>
                <w:szCs w:val="20"/>
                <w:lang w:eastAsia="en-GB"/>
              </w:rPr>
            </w:pPr>
            <w:r w:rsidRPr="00C34A99">
              <w:rPr>
                <w:rFonts w:ascii="Times New Roman" w:hAnsi="Times New Roman" w:cs="Times New Roman"/>
                <w:bCs/>
                <w:sz w:val="20"/>
                <w:szCs w:val="20"/>
                <w:lang w:eastAsia="en-GB"/>
              </w:rPr>
              <w:t>11,159,425</w:t>
            </w:r>
          </w:p>
        </w:tc>
      </w:tr>
      <w:tr w:rsidR="004F3550" w:rsidRPr="00607022" w:rsidTr="006C7E08">
        <w:trPr>
          <w:cantSplit/>
          <w:trHeight w:hRule="exact" w:val="340"/>
        </w:trPr>
        <w:tc>
          <w:tcPr>
            <w:tcW w:w="5397" w:type="dxa"/>
            <w:tcBorders>
              <w:top w:val="nil"/>
              <w:left w:val="nil"/>
              <w:bottom w:val="nil"/>
              <w:right w:val="nil"/>
            </w:tcBorders>
            <w:shd w:val="clear" w:color="auto" w:fill="auto"/>
            <w:noWrap/>
            <w:vAlign w:val="bottom"/>
            <w:hideMark/>
          </w:tcPr>
          <w:p w:rsidR="004F3550" w:rsidRPr="00607022" w:rsidRDefault="00582B6E" w:rsidP="00210983">
            <w:pPr>
              <w:spacing w:after="0" w:line="240" w:lineRule="auto"/>
              <w:rPr>
                <w:rFonts w:ascii="Times New Roman" w:hAnsi="Times New Roman" w:cs="Times New Roman"/>
                <w:b/>
                <w:bCs/>
                <w:sz w:val="20"/>
                <w:szCs w:val="20"/>
                <w:lang w:eastAsia="en-GB"/>
              </w:rPr>
            </w:pPr>
            <w:r>
              <w:rPr>
                <w:rFonts w:ascii="Times New Roman" w:hAnsi="Times New Roman" w:cs="Times New Roman"/>
                <w:b/>
                <w:bCs/>
                <w:sz w:val="20"/>
                <w:szCs w:val="20"/>
                <w:lang w:eastAsia="en-GB"/>
              </w:rPr>
              <w:t>Investing a</w:t>
            </w:r>
            <w:r w:rsidR="004F3550" w:rsidRPr="00607022">
              <w:rPr>
                <w:rFonts w:ascii="Times New Roman" w:hAnsi="Times New Roman" w:cs="Times New Roman"/>
                <w:b/>
                <w:bCs/>
                <w:sz w:val="20"/>
                <w:szCs w:val="20"/>
                <w:lang w:eastAsia="en-GB"/>
              </w:rPr>
              <w:t>ctivities</w:t>
            </w:r>
          </w:p>
        </w:tc>
        <w:tc>
          <w:tcPr>
            <w:tcW w:w="2000" w:type="dxa"/>
            <w:tcBorders>
              <w:top w:val="nil"/>
              <w:left w:val="nil"/>
              <w:bottom w:val="nil"/>
              <w:right w:val="nil"/>
            </w:tcBorders>
            <w:shd w:val="clear" w:color="auto" w:fill="auto"/>
            <w:noWrap/>
            <w:vAlign w:val="center"/>
          </w:tcPr>
          <w:p w:rsidR="004F3550" w:rsidRPr="00607022" w:rsidRDefault="004F3550" w:rsidP="00210983">
            <w:pPr>
              <w:spacing w:after="0" w:line="240" w:lineRule="auto"/>
              <w:jc w:val="right"/>
              <w:rPr>
                <w:rFonts w:ascii="Times New Roman" w:hAnsi="Times New Roman" w:cs="Times New Roman"/>
                <w:b/>
                <w:bCs/>
                <w:sz w:val="20"/>
                <w:szCs w:val="20"/>
                <w:lang w:eastAsia="en-GB"/>
              </w:rPr>
            </w:pPr>
          </w:p>
        </w:tc>
        <w:tc>
          <w:tcPr>
            <w:tcW w:w="277" w:type="dxa"/>
            <w:tcBorders>
              <w:top w:val="nil"/>
              <w:left w:val="nil"/>
              <w:bottom w:val="nil"/>
              <w:right w:val="nil"/>
            </w:tcBorders>
            <w:shd w:val="clear" w:color="auto" w:fill="auto"/>
            <w:noWrap/>
            <w:vAlign w:val="center"/>
            <w:hideMark/>
          </w:tcPr>
          <w:p w:rsidR="004F3550" w:rsidRPr="00607022" w:rsidRDefault="004F3550" w:rsidP="00210983">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vAlign w:val="center"/>
          </w:tcPr>
          <w:p w:rsidR="004F3550" w:rsidRPr="00C34A99" w:rsidRDefault="004F3550" w:rsidP="00210983">
            <w:pPr>
              <w:spacing w:after="0" w:line="240" w:lineRule="auto"/>
              <w:jc w:val="right"/>
              <w:rPr>
                <w:rFonts w:ascii="Times New Roman" w:hAnsi="Times New Roman" w:cs="Times New Roman"/>
                <w:bCs/>
                <w:sz w:val="20"/>
                <w:szCs w:val="20"/>
                <w:lang w:eastAsia="en-GB"/>
              </w:rPr>
            </w:pPr>
          </w:p>
        </w:tc>
      </w:tr>
      <w:tr w:rsidR="00C34A99" w:rsidRPr="00607022" w:rsidTr="00361109">
        <w:trPr>
          <w:cantSplit/>
          <w:trHeight w:hRule="exact" w:val="340"/>
        </w:trPr>
        <w:tc>
          <w:tcPr>
            <w:tcW w:w="539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sz w:val="20"/>
                <w:szCs w:val="20"/>
                <w:lang w:eastAsia="en-GB"/>
              </w:rPr>
            </w:pPr>
            <w:r w:rsidRPr="00607022">
              <w:rPr>
                <w:rFonts w:ascii="Times New Roman" w:hAnsi="Times New Roman" w:cs="Times New Roman"/>
                <w:sz w:val="20"/>
                <w:szCs w:val="20"/>
                <w:lang w:eastAsia="en-GB"/>
              </w:rPr>
              <w:t>Purchase of property, plant and equipment</w:t>
            </w:r>
          </w:p>
        </w:tc>
        <w:tc>
          <w:tcPr>
            <w:tcW w:w="2000" w:type="dxa"/>
            <w:tcBorders>
              <w:top w:val="nil"/>
              <w:left w:val="nil"/>
              <w:bottom w:val="nil"/>
              <w:right w:val="nil"/>
            </w:tcBorders>
            <w:shd w:val="clear" w:color="auto" w:fill="auto"/>
            <w:noWrap/>
            <w:vAlign w:val="center"/>
          </w:tcPr>
          <w:p w:rsidR="00C34A99" w:rsidRPr="00607022" w:rsidRDefault="008F2EB6" w:rsidP="00C34A99">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w:t>
            </w:r>
          </w:p>
        </w:tc>
        <w:tc>
          <w:tcPr>
            <w:tcW w:w="27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C34A99" w:rsidRPr="00C34A99" w:rsidRDefault="00C34A99" w:rsidP="00C34A99">
            <w:pPr>
              <w:spacing w:after="0" w:line="240" w:lineRule="auto"/>
              <w:jc w:val="right"/>
              <w:rPr>
                <w:rFonts w:ascii="Times New Roman" w:hAnsi="Times New Roman" w:cs="Times New Roman"/>
                <w:bCs/>
                <w:sz w:val="20"/>
                <w:szCs w:val="20"/>
                <w:lang w:eastAsia="en-GB"/>
              </w:rPr>
            </w:pPr>
            <w:r w:rsidRPr="00C34A99">
              <w:rPr>
                <w:rFonts w:ascii="Times New Roman" w:hAnsi="Times New Roman" w:cs="Times New Roman"/>
                <w:bCs/>
                <w:sz w:val="20"/>
                <w:szCs w:val="20"/>
                <w:lang w:eastAsia="en-GB"/>
              </w:rPr>
              <w:t>(9,049)</w:t>
            </w:r>
          </w:p>
        </w:tc>
      </w:tr>
      <w:tr w:rsidR="00C34A99" w:rsidRPr="00607022" w:rsidTr="00361109">
        <w:trPr>
          <w:cantSplit/>
          <w:trHeight w:hRule="exact" w:val="340"/>
        </w:trPr>
        <w:tc>
          <w:tcPr>
            <w:tcW w:w="539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Cash flow used in investing activities</w:t>
            </w:r>
          </w:p>
        </w:tc>
        <w:tc>
          <w:tcPr>
            <w:tcW w:w="2000" w:type="dxa"/>
            <w:tcBorders>
              <w:top w:val="single" w:sz="4" w:space="0" w:color="auto"/>
              <w:left w:val="nil"/>
              <w:bottom w:val="single" w:sz="4" w:space="0" w:color="auto"/>
              <w:right w:val="nil"/>
            </w:tcBorders>
            <w:shd w:val="clear" w:color="auto" w:fill="auto"/>
            <w:noWrap/>
            <w:vAlign w:val="center"/>
          </w:tcPr>
          <w:p w:rsidR="00C34A99" w:rsidRPr="00607022" w:rsidRDefault="008F2EB6" w:rsidP="00C34A99">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w:t>
            </w:r>
          </w:p>
        </w:tc>
        <w:tc>
          <w:tcPr>
            <w:tcW w:w="27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sz w:val="20"/>
                <w:szCs w:val="20"/>
                <w:lang w:eastAsia="en-GB"/>
              </w:rPr>
            </w:pPr>
          </w:p>
        </w:tc>
        <w:tc>
          <w:tcPr>
            <w:tcW w:w="1574" w:type="dxa"/>
            <w:tcBorders>
              <w:top w:val="single" w:sz="4" w:space="0" w:color="auto"/>
              <w:left w:val="nil"/>
              <w:bottom w:val="single" w:sz="4" w:space="0" w:color="auto"/>
              <w:right w:val="nil"/>
            </w:tcBorders>
            <w:shd w:val="clear" w:color="auto" w:fill="auto"/>
            <w:vAlign w:val="center"/>
          </w:tcPr>
          <w:p w:rsidR="00C34A99" w:rsidRPr="00C34A99" w:rsidRDefault="00C34A99" w:rsidP="00C34A99">
            <w:pPr>
              <w:spacing w:after="0" w:line="240" w:lineRule="auto"/>
              <w:jc w:val="right"/>
              <w:rPr>
                <w:rFonts w:ascii="Times New Roman" w:hAnsi="Times New Roman" w:cs="Times New Roman"/>
                <w:bCs/>
                <w:sz w:val="20"/>
                <w:szCs w:val="20"/>
                <w:lang w:eastAsia="en-GB"/>
              </w:rPr>
            </w:pPr>
            <w:r w:rsidRPr="00C34A99">
              <w:rPr>
                <w:rFonts w:ascii="Times New Roman" w:hAnsi="Times New Roman" w:cs="Times New Roman"/>
                <w:bCs/>
                <w:sz w:val="20"/>
                <w:szCs w:val="20"/>
                <w:lang w:eastAsia="en-GB"/>
              </w:rPr>
              <w:t>(9,049)</w:t>
            </w:r>
          </w:p>
        </w:tc>
      </w:tr>
      <w:tr w:rsidR="00C34A99" w:rsidRPr="00607022" w:rsidTr="00361109">
        <w:trPr>
          <w:cantSplit/>
          <w:trHeight w:hRule="exact" w:val="722"/>
        </w:trPr>
        <w:tc>
          <w:tcPr>
            <w:tcW w:w="5397" w:type="dxa"/>
            <w:tcBorders>
              <w:top w:val="nil"/>
              <w:left w:val="nil"/>
              <w:bottom w:val="nil"/>
              <w:right w:val="nil"/>
            </w:tcBorders>
            <w:shd w:val="clear" w:color="auto" w:fill="auto"/>
            <w:noWrap/>
            <w:vAlign w:val="bottom"/>
            <w:hideMark/>
          </w:tcPr>
          <w:p w:rsidR="00C34A99" w:rsidRPr="00607022" w:rsidRDefault="00C34A99" w:rsidP="00C34A99">
            <w:pPr>
              <w:spacing w:after="0" w:line="240" w:lineRule="auto"/>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Financing activities</w:t>
            </w:r>
          </w:p>
        </w:tc>
        <w:tc>
          <w:tcPr>
            <w:tcW w:w="2000" w:type="dxa"/>
            <w:tcBorders>
              <w:top w:val="nil"/>
              <w:left w:val="nil"/>
              <w:bottom w:val="nil"/>
              <w:right w:val="nil"/>
            </w:tcBorders>
            <w:shd w:val="clear" w:color="auto" w:fill="auto"/>
            <w:noWrap/>
            <w:vAlign w:val="bottom"/>
          </w:tcPr>
          <w:p w:rsidR="00C34A99" w:rsidRPr="00607022" w:rsidRDefault="00C34A99" w:rsidP="00C34A99">
            <w:pPr>
              <w:spacing w:after="0" w:line="240" w:lineRule="auto"/>
              <w:rPr>
                <w:rFonts w:ascii="Times New Roman" w:hAnsi="Times New Roman" w:cs="Times New Roman"/>
                <w:b/>
                <w:bCs/>
                <w:sz w:val="20"/>
                <w:szCs w:val="20"/>
                <w:lang w:eastAsia="en-GB"/>
              </w:rPr>
            </w:pPr>
          </w:p>
        </w:tc>
        <w:tc>
          <w:tcPr>
            <w:tcW w:w="277" w:type="dxa"/>
            <w:tcBorders>
              <w:top w:val="nil"/>
              <w:left w:val="nil"/>
              <w:bottom w:val="nil"/>
              <w:right w:val="nil"/>
            </w:tcBorders>
            <w:shd w:val="clear" w:color="auto" w:fill="auto"/>
            <w:noWrap/>
            <w:vAlign w:val="bottom"/>
            <w:hideMark/>
          </w:tcPr>
          <w:p w:rsidR="00C34A99" w:rsidRPr="00607022" w:rsidRDefault="00C34A99" w:rsidP="00C34A99">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bottom"/>
          </w:tcPr>
          <w:p w:rsidR="00C34A99" w:rsidRPr="00C34A99" w:rsidRDefault="00C34A99" w:rsidP="00C34A99">
            <w:pPr>
              <w:spacing w:after="0" w:line="240" w:lineRule="auto"/>
              <w:rPr>
                <w:rFonts w:ascii="Times New Roman" w:hAnsi="Times New Roman" w:cs="Times New Roman"/>
                <w:bCs/>
                <w:sz w:val="20"/>
                <w:szCs w:val="20"/>
                <w:lang w:eastAsia="en-GB"/>
              </w:rPr>
            </w:pPr>
          </w:p>
        </w:tc>
      </w:tr>
      <w:tr w:rsidR="00C34A99" w:rsidRPr="00607022" w:rsidTr="00361109">
        <w:trPr>
          <w:cantSplit/>
          <w:trHeight w:hRule="exact" w:val="340"/>
        </w:trPr>
        <w:tc>
          <w:tcPr>
            <w:tcW w:w="539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sz w:val="20"/>
                <w:szCs w:val="20"/>
                <w:lang w:eastAsia="en-GB"/>
              </w:rPr>
            </w:pPr>
            <w:r w:rsidRPr="00607022">
              <w:rPr>
                <w:rFonts w:ascii="Times New Roman" w:hAnsi="Times New Roman" w:cs="Times New Roman"/>
                <w:sz w:val="20"/>
                <w:szCs w:val="20"/>
                <w:lang w:eastAsia="en-GB"/>
              </w:rPr>
              <w:t>Interest paid</w:t>
            </w:r>
          </w:p>
        </w:tc>
        <w:tc>
          <w:tcPr>
            <w:tcW w:w="2000" w:type="dxa"/>
            <w:tcBorders>
              <w:top w:val="nil"/>
              <w:left w:val="nil"/>
              <w:bottom w:val="nil"/>
              <w:right w:val="nil"/>
            </w:tcBorders>
            <w:shd w:val="clear" w:color="auto" w:fill="auto"/>
            <w:noWrap/>
            <w:vAlign w:val="center"/>
          </w:tcPr>
          <w:p w:rsidR="00C34A99" w:rsidRPr="00607022" w:rsidRDefault="008F2EB6" w:rsidP="00C34A99">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(1,239,300</w:t>
            </w:r>
            <w:r w:rsidR="00C34A99" w:rsidRPr="00607022">
              <w:rPr>
                <w:rFonts w:ascii="Times New Roman" w:hAnsi="Times New Roman" w:cs="Times New Roman"/>
                <w:b/>
                <w:bCs/>
                <w:sz w:val="20"/>
                <w:szCs w:val="20"/>
                <w:lang w:eastAsia="en-GB"/>
              </w:rPr>
              <w:t>)</w:t>
            </w:r>
          </w:p>
        </w:tc>
        <w:tc>
          <w:tcPr>
            <w:tcW w:w="27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C34A99" w:rsidRPr="00C34A99" w:rsidRDefault="00C34A99" w:rsidP="00C34A99">
            <w:pPr>
              <w:spacing w:after="0" w:line="240" w:lineRule="auto"/>
              <w:jc w:val="right"/>
              <w:rPr>
                <w:rFonts w:ascii="Times New Roman" w:hAnsi="Times New Roman" w:cs="Times New Roman"/>
                <w:bCs/>
                <w:sz w:val="20"/>
                <w:szCs w:val="20"/>
                <w:lang w:eastAsia="en-GB"/>
              </w:rPr>
            </w:pPr>
            <w:r w:rsidRPr="00C34A99">
              <w:rPr>
                <w:rFonts w:ascii="Times New Roman" w:hAnsi="Times New Roman" w:cs="Times New Roman"/>
                <w:bCs/>
                <w:sz w:val="20"/>
                <w:szCs w:val="20"/>
                <w:lang w:eastAsia="en-GB"/>
              </w:rPr>
              <w:t>(1,278,843)</w:t>
            </w:r>
          </w:p>
        </w:tc>
      </w:tr>
      <w:tr w:rsidR="008F2EB6" w:rsidRPr="00607022" w:rsidTr="00361109">
        <w:trPr>
          <w:cantSplit/>
          <w:trHeight w:hRule="exact" w:val="340"/>
        </w:trPr>
        <w:tc>
          <w:tcPr>
            <w:tcW w:w="5397" w:type="dxa"/>
            <w:tcBorders>
              <w:top w:val="nil"/>
              <w:left w:val="nil"/>
              <w:bottom w:val="nil"/>
              <w:right w:val="nil"/>
            </w:tcBorders>
            <w:shd w:val="clear" w:color="auto" w:fill="auto"/>
            <w:noWrap/>
            <w:vAlign w:val="center"/>
            <w:hideMark/>
          </w:tcPr>
          <w:p w:rsidR="008F2EB6" w:rsidRPr="00607022" w:rsidRDefault="008F2EB6" w:rsidP="00361109">
            <w:pPr>
              <w:spacing w:after="0" w:line="240" w:lineRule="auto"/>
              <w:rPr>
                <w:rFonts w:ascii="Times New Roman" w:hAnsi="Times New Roman" w:cs="Times New Roman"/>
                <w:sz w:val="20"/>
                <w:szCs w:val="20"/>
                <w:lang w:eastAsia="en-GB"/>
              </w:rPr>
            </w:pPr>
            <w:r w:rsidRPr="00607022">
              <w:rPr>
                <w:rFonts w:ascii="Times New Roman" w:hAnsi="Times New Roman" w:cs="Times New Roman"/>
                <w:sz w:val="20"/>
                <w:szCs w:val="20"/>
                <w:lang w:eastAsia="en-GB"/>
              </w:rPr>
              <w:t>Net dividends paid to Shareholders</w:t>
            </w:r>
          </w:p>
        </w:tc>
        <w:tc>
          <w:tcPr>
            <w:tcW w:w="2000" w:type="dxa"/>
            <w:tcBorders>
              <w:top w:val="nil"/>
              <w:left w:val="nil"/>
              <w:bottom w:val="nil"/>
              <w:right w:val="nil"/>
            </w:tcBorders>
            <w:shd w:val="clear" w:color="auto" w:fill="auto"/>
            <w:noWrap/>
            <w:vAlign w:val="center"/>
          </w:tcPr>
          <w:p w:rsidR="008F2EB6" w:rsidRPr="00607022" w:rsidRDefault="008F2EB6" w:rsidP="008F2EB6">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w:t>
            </w:r>
            <w:r>
              <w:rPr>
                <w:rFonts w:ascii="Times New Roman" w:hAnsi="Times New Roman" w:cs="Times New Roman"/>
                <w:b/>
                <w:bCs/>
                <w:sz w:val="20"/>
                <w:szCs w:val="20"/>
                <w:lang w:eastAsia="en-GB"/>
              </w:rPr>
              <w:t>1,348,514</w:t>
            </w:r>
            <w:r w:rsidRPr="00607022">
              <w:rPr>
                <w:rFonts w:ascii="Times New Roman" w:hAnsi="Times New Roman" w:cs="Times New Roman"/>
                <w:b/>
                <w:bCs/>
                <w:sz w:val="20"/>
                <w:szCs w:val="20"/>
                <w:lang w:eastAsia="en-GB"/>
              </w:rPr>
              <w:t>)</w:t>
            </w:r>
          </w:p>
        </w:tc>
        <w:tc>
          <w:tcPr>
            <w:tcW w:w="277" w:type="dxa"/>
            <w:tcBorders>
              <w:top w:val="nil"/>
              <w:left w:val="nil"/>
              <w:bottom w:val="nil"/>
              <w:right w:val="nil"/>
            </w:tcBorders>
            <w:shd w:val="clear" w:color="auto" w:fill="auto"/>
            <w:noWrap/>
            <w:vAlign w:val="center"/>
            <w:hideMark/>
          </w:tcPr>
          <w:p w:rsidR="008F2EB6" w:rsidRPr="00607022" w:rsidRDefault="008F2EB6" w:rsidP="00361109">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8F2EB6" w:rsidRPr="00C34A99" w:rsidRDefault="008F2EB6" w:rsidP="00361109">
            <w:pPr>
              <w:spacing w:after="0" w:line="240" w:lineRule="auto"/>
              <w:jc w:val="right"/>
              <w:rPr>
                <w:rFonts w:ascii="Times New Roman" w:hAnsi="Times New Roman" w:cs="Times New Roman"/>
                <w:bCs/>
                <w:sz w:val="20"/>
                <w:szCs w:val="20"/>
                <w:lang w:eastAsia="en-GB"/>
              </w:rPr>
            </w:pPr>
            <w:r w:rsidRPr="00C34A99">
              <w:rPr>
                <w:rFonts w:ascii="Times New Roman" w:hAnsi="Times New Roman" w:cs="Times New Roman"/>
                <w:bCs/>
                <w:sz w:val="20"/>
                <w:szCs w:val="20"/>
                <w:lang w:eastAsia="en-GB"/>
              </w:rPr>
              <w:t>(2,347,989)</w:t>
            </w:r>
          </w:p>
        </w:tc>
      </w:tr>
      <w:tr w:rsidR="008F2EB6" w:rsidRPr="00607022" w:rsidTr="00361109">
        <w:trPr>
          <w:cantSplit/>
          <w:trHeight w:hRule="exact" w:val="340"/>
        </w:trPr>
        <w:tc>
          <w:tcPr>
            <w:tcW w:w="5397" w:type="dxa"/>
            <w:tcBorders>
              <w:top w:val="nil"/>
              <w:left w:val="nil"/>
              <w:bottom w:val="nil"/>
              <w:right w:val="nil"/>
            </w:tcBorders>
            <w:shd w:val="clear" w:color="auto" w:fill="auto"/>
            <w:noWrap/>
            <w:vAlign w:val="center"/>
            <w:hideMark/>
          </w:tcPr>
          <w:p w:rsidR="008F2EB6" w:rsidRPr="00607022" w:rsidRDefault="007557C0" w:rsidP="00361109">
            <w:pPr>
              <w:spacing w:after="0" w:line="240" w:lineRule="auto"/>
              <w:rPr>
                <w:rFonts w:ascii="Times New Roman" w:hAnsi="Times New Roman" w:cs="Times New Roman"/>
                <w:sz w:val="20"/>
                <w:szCs w:val="20"/>
                <w:lang w:eastAsia="en-GB"/>
              </w:rPr>
            </w:pPr>
            <w:r>
              <w:rPr>
                <w:rFonts w:ascii="Times New Roman" w:hAnsi="Times New Roman" w:cs="Times New Roman"/>
                <w:sz w:val="20"/>
                <w:szCs w:val="20"/>
                <w:lang w:eastAsia="en-GB"/>
              </w:rPr>
              <w:t>Repayment of borrowing</w:t>
            </w:r>
          </w:p>
        </w:tc>
        <w:tc>
          <w:tcPr>
            <w:tcW w:w="2000" w:type="dxa"/>
            <w:tcBorders>
              <w:top w:val="nil"/>
              <w:left w:val="nil"/>
              <w:bottom w:val="nil"/>
              <w:right w:val="nil"/>
            </w:tcBorders>
            <w:shd w:val="clear" w:color="auto" w:fill="auto"/>
            <w:noWrap/>
            <w:vAlign w:val="center"/>
          </w:tcPr>
          <w:p w:rsidR="008F2EB6" w:rsidRPr="00607022" w:rsidRDefault="008F2EB6" w:rsidP="008F2EB6">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w:t>
            </w:r>
            <w:r>
              <w:rPr>
                <w:rFonts w:ascii="Times New Roman" w:hAnsi="Times New Roman" w:cs="Times New Roman"/>
                <w:b/>
                <w:bCs/>
                <w:sz w:val="20"/>
                <w:szCs w:val="20"/>
                <w:lang w:eastAsia="en-GB"/>
              </w:rPr>
              <w:t>9,000,000</w:t>
            </w:r>
            <w:r w:rsidRPr="00607022">
              <w:rPr>
                <w:rFonts w:ascii="Times New Roman" w:hAnsi="Times New Roman" w:cs="Times New Roman"/>
                <w:b/>
                <w:bCs/>
                <w:sz w:val="20"/>
                <w:szCs w:val="20"/>
                <w:lang w:eastAsia="en-GB"/>
              </w:rPr>
              <w:t>)</w:t>
            </w:r>
          </w:p>
        </w:tc>
        <w:tc>
          <w:tcPr>
            <w:tcW w:w="277" w:type="dxa"/>
            <w:tcBorders>
              <w:top w:val="nil"/>
              <w:left w:val="nil"/>
              <w:bottom w:val="nil"/>
              <w:right w:val="nil"/>
            </w:tcBorders>
            <w:shd w:val="clear" w:color="auto" w:fill="auto"/>
            <w:noWrap/>
            <w:vAlign w:val="center"/>
            <w:hideMark/>
          </w:tcPr>
          <w:p w:rsidR="008F2EB6" w:rsidRPr="00607022" w:rsidRDefault="008F2EB6" w:rsidP="00361109">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8F2EB6" w:rsidRPr="00C34A99" w:rsidRDefault="008F2EB6" w:rsidP="00361109">
            <w:pPr>
              <w:spacing w:after="0" w:line="240" w:lineRule="auto"/>
              <w:jc w:val="right"/>
              <w:rPr>
                <w:rFonts w:ascii="Times New Roman" w:hAnsi="Times New Roman" w:cs="Times New Roman"/>
                <w:bCs/>
                <w:sz w:val="20"/>
                <w:szCs w:val="20"/>
                <w:lang w:eastAsia="en-GB"/>
              </w:rPr>
            </w:pPr>
            <w:r>
              <w:rPr>
                <w:rFonts w:ascii="Times New Roman" w:hAnsi="Times New Roman" w:cs="Times New Roman"/>
                <w:bCs/>
                <w:sz w:val="20"/>
                <w:szCs w:val="20"/>
                <w:lang w:eastAsia="en-GB"/>
              </w:rPr>
              <w:t>-</w:t>
            </w:r>
          </w:p>
        </w:tc>
      </w:tr>
      <w:tr w:rsidR="008F2EB6" w:rsidRPr="00607022" w:rsidTr="00361109">
        <w:trPr>
          <w:cantSplit/>
          <w:trHeight w:hRule="exact" w:val="340"/>
        </w:trPr>
        <w:tc>
          <w:tcPr>
            <w:tcW w:w="5397" w:type="dxa"/>
            <w:tcBorders>
              <w:top w:val="nil"/>
              <w:left w:val="nil"/>
              <w:bottom w:val="nil"/>
              <w:right w:val="nil"/>
            </w:tcBorders>
            <w:shd w:val="clear" w:color="auto" w:fill="auto"/>
            <w:noWrap/>
            <w:vAlign w:val="center"/>
            <w:hideMark/>
          </w:tcPr>
          <w:p w:rsidR="008F2EB6" w:rsidRPr="00607022" w:rsidRDefault="007557C0" w:rsidP="00361109">
            <w:pPr>
              <w:spacing w:after="0" w:line="240" w:lineRule="auto"/>
              <w:rPr>
                <w:rFonts w:ascii="Times New Roman" w:hAnsi="Times New Roman" w:cs="Times New Roman"/>
                <w:sz w:val="20"/>
                <w:szCs w:val="20"/>
                <w:lang w:eastAsia="en-GB"/>
              </w:rPr>
            </w:pPr>
            <w:r>
              <w:rPr>
                <w:rFonts w:ascii="Times New Roman" w:hAnsi="Times New Roman" w:cs="Times New Roman"/>
                <w:sz w:val="20"/>
                <w:szCs w:val="20"/>
                <w:lang w:eastAsia="en-GB"/>
              </w:rPr>
              <w:t>Repayment of interest rate swap</w:t>
            </w:r>
          </w:p>
        </w:tc>
        <w:tc>
          <w:tcPr>
            <w:tcW w:w="2000" w:type="dxa"/>
            <w:tcBorders>
              <w:top w:val="nil"/>
              <w:left w:val="nil"/>
              <w:bottom w:val="nil"/>
              <w:right w:val="nil"/>
            </w:tcBorders>
            <w:shd w:val="clear" w:color="auto" w:fill="auto"/>
            <w:noWrap/>
            <w:vAlign w:val="center"/>
          </w:tcPr>
          <w:p w:rsidR="008F2EB6" w:rsidRPr="00607022" w:rsidRDefault="008F2EB6" w:rsidP="008F2EB6">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w:t>
            </w:r>
            <w:r>
              <w:rPr>
                <w:rFonts w:ascii="Times New Roman" w:hAnsi="Times New Roman" w:cs="Times New Roman"/>
                <w:b/>
                <w:bCs/>
                <w:sz w:val="20"/>
                <w:szCs w:val="20"/>
                <w:lang w:eastAsia="en-GB"/>
              </w:rPr>
              <w:t>1,170,000</w:t>
            </w:r>
            <w:r w:rsidRPr="00607022">
              <w:rPr>
                <w:rFonts w:ascii="Times New Roman" w:hAnsi="Times New Roman" w:cs="Times New Roman"/>
                <w:b/>
                <w:bCs/>
                <w:sz w:val="20"/>
                <w:szCs w:val="20"/>
                <w:lang w:eastAsia="en-GB"/>
              </w:rPr>
              <w:t>)</w:t>
            </w:r>
          </w:p>
        </w:tc>
        <w:tc>
          <w:tcPr>
            <w:tcW w:w="277" w:type="dxa"/>
            <w:tcBorders>
              <w:top w:val="nil"/>
              <w:left w:val="nil"/>
              <w:bottom w:val="nil"/>
              <w:right w:val="nil"/>
            </w:tcBorders>
            <w:shd w:val="clear" w:color="auto" w:fill="auto"/>
            <w:noWrap/>
            <w:vAlign w:val="center"/>
            <w:hideMark/>
          </w:tcPr>
          <w:p w:rsidR="008F2EB6" w:rsidRPr="00607022" w:rsidRDefault="008F2EB6" w:rsidP="00361109">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8F2EB6" w:rsidRPr="00C34A99" w:rsidRDefault="008F2EB6" w:rsidP="00361109">
            <w:pPr>
              <w:spacing w:after="0" w:line="240" w:lineRule="auto"/>
              <w:jc w:val="right"/>
              <w:rPr>
                <w:rFonts w:ascii="Times New Roman" w:hAnsi="Times New Roman" w:cs="Times New Roman"/>
                <w:bCs/>
                <w:sz w:val="20"/>
                <w:szCs w:val="20"/>
                <w:lang w:eastAsia="en-GB"/>
              </w:rPr>
            </w:pPr>
            <w:r>
              <w:rPr>
                <w:rFonts w:ascii="Times New Roman" w:hAnsi="Times New Roman" w:cs="Times New Roman"/>
                <w:bCs/>
                <w:sz w:val="20"/>
                <w:szCs w:val="20"/>
                <w:lang w:eastAsia="en-GB"/>
              </w:rPr>
              <w:t>-</w:t>
            </w:r>
          </w:p>
        </w:tc>
      </w:tr>
      <w:tr w:rsidR="00C34A99" w:rsidRPr="00607022" w:rsidTr="00361109">
        <w:trPr>
          <w:cantSplit/>
          <w:trHeight w:hRule="exact" w:val="340"/>
        </w:trPr>
        <w:tc>
          <w:tcPr>
            <w:tcW w:w="5397" w:type="dxa"/>
            <w:tcBorders>
              <w:top w:val="nil"/>
              <w:left w:val="nil"/>
              <w:bottom w:val="nil"/>
              <w:right w:val="nil"/>
            </w:tcBorders>
            <w:shd w:val="clear" w:color="auto" w:fill="auto"/>
            <w:noWrap/>
            <w:vAlign w:val="center"/>
            <w:hideMark/>
          </w:tcPr>
          <w:p w:rsidR="00C34A99" w:rsidRPr="00607022" w:rsidRDefault="007557C0" w:rsidP="00C34A99">
            <w:pPr>
              <w:spacing w:after="0" w:line="240" w:lineRule="auto"/>
              <w:rPr>
                <w:rFonts w:ascii="Times New Roman" w:hAnsi="Times New Roman" w:cs="Times New Roman"/>
                <w:sz w:val="20"/>
                <w:szCs w:val="20"/>
                <w:lang w:eastAsia="en-GB"/>
              </w:rPr>
            </w:pPr>
            <w:r>
              <w:rPr>
                <w:rFonts w:ascii="Times New Roman" w:hAnsi="Times New Roman" w:cs="Times New Roman"/>
                <w:sz w:val="20"/>
                <w:szCs w:val="20"/>
                <w:lang w:eastAsia="en-GB"/>
              </w:rPr>
              <w:t>Purchase of own shares subsequently cancelled</w:t>
            </w:r>
          </w:p>
        </w:tc>
        <w:tc>
          <w:tcPr>
            <w:tcW w:w="2000" w:type="dxa"/>
            <w:tcBorders>
              <w:top w:val="nil"/>
              <w:left w:val="nil"/>
              <w:bottom w:val="nil"/>
              <w:right w:val="nil"/>
            </w:tcBorders>
            <w:shd w:val="clear" w:color="auto" w:fill="auto"/>
            <w:noWrap/>
            <w:vAlign w:val="center"/>
          </w:tcPr>
          <w:p w:rsidR="00C34A99" w:rsidRPr="00607022" w:rsidRDefault="00C34A99" w:rsidP="008F2EB6">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w:t>
            </w:r>
            <w:r w:rsidR="008F2EB6">
              <w:rPr>
                <w:rFonts w:ascii="Times New Roman" w:hAnsi="Times New Roman" w:cs="Times New Roman"/>
                <w:b/>
                <w:bCs/>
                <w:sz w:val="20"/>
                <w:szCs w:val="20"/>
                <w:lang w:eastAsia="en-GB"/>
              </w:rPr>
              <w:t>151,341</w:t>
            </w:r>
            <w:r w:rsidRPr="00607022">
              <w:rPr>
                <w:rFonts w:ascii="Times New Roman" w:hAnsi="Times New Roman" w:cs="Times New Roman"/>
                <w:b/>
                <w:bCs/>
                <w:sz w:val="20"/>
                <w:szCs w:val="20"/>
                <w:lang w:eastAsia="en-GB"/>
              </w:rPr>
              <w:t>)</w:t>
            </w:r>
          </w:p>
        </w:tc>
        <w:tc>
          <w:tcPr>
            <w:tcW w:w="27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C34A99" w:rsidRPr="00C34A99" w:rsidRDefault="008F2EB6" w:rsidP="00C34A99">
            <w:pPr>
              <w:spacing w:after="0" w:line="240" w:lineRule="auto"/>
              <w:jc w:val="right"/>
              <w:rPr>
                <w:rFonts w:ascii="Times New Roman" w:hAnsi="Times New Roman" w:cs="Times New Roman"/>
                <w:bCs/>
                <w:sz w:val="20"/>
                <w:szCs w:val="20"/>
                <w:lang w:eastAsia="en-GB"/>
              </w:rPr>
            </w:pPr>
            <w:r>
              <w:rPr>
                <w:rFonts w:ascii="Times New Roman" w:hAnsi="Times New Roman" w:cs="Times New Roman"/>
                <w:bCs/>
                <w:sz w:val="20"/>
                <w:szCs w:val="20"/>
                <w:lang w:eastAsia="en-GB"/>
              </w:rPr>
              <w:t>-</w:t>
            </w:r>
          </w:p>
        </w:tc>
      </w:tr>
      <w:tr w:rsidR="008F2EB6" w:rsidRPr="00607022" w:rsidTr="00361109">
        <w:trPr>
          <w:cantSplit/>
          <w:trHeight w:hRule="exact" w:val="340"/>
        </w:trPr>
        <w:tc>
          <w:tcPr>
            <w:tcW w:w="5397" w:type="dxa"/>
            <w:tcBorders>
              <w:top w:val="nil"/>
              <w:left w:val="nil"/>
              <w:bottom w:val="nil"/>
              <w:right w:val="nil"/>
            </w:tcBorders>
            <w:shd w:val="clear" w:color="auto" w:fill="auto"/>
            <w:noWrap/>
            <w:vAlign w:val="center"/>
            <w:hideMark/>
          </w:tcPr>
          <w:p w:rsidR="008F2EB6" w:rsidRPr="00607022" w:rsidRDefault="007557C0" w:rsidP="00361109">
            <w:pPr>
              <w:spacing w:after="0" w:line="240" w:lineRule="auto"/>
              <w:rPr>
                <w:rFonts w:ascii="Times New Roman" w:hAnsi="Times New Roman" w:cs="Times New Roman"/>
                <w:sz w:val="20"/>
                <w:szCs w:val="20"/>
                <w:lang w:eastAsia="en-GB"/>
              </w:rPr>
            </w:pPr>
            <w:r>
              <w:rPr>
                <w:rFonts w:ascii="Times New Roman" w:hAnsi="Times New Roman" w:cs="Times New Roman"/>
                <w:sz w:val="20"/>
                <w:szCs w:val="20"/>
                <w:lang w:eastAsia="en-GB"/>
              </w:rPr>
              <w:t>Loan note fee paid</w:t>
            </w:r>
          </w:p>
        </w:tc>
        <w:tc>
          <w:tcPr>
            <w:tcW w:w="2000" w:type="dxa"/>
            <w:tcBorders>
              <w:top w:val="nil"/>
              <w:left w:val="nil"/>
              <w:bottom w:val="nil"/>
              <w:right w:val="nil"/>
            </w:tcBorders>
            <w:shd w:val="clear" w:color="auto" w:fill="auto"/>
            <w:noWrap/>
            <w:vAlign w:val="center"/>
          </w:tcPr>
          <w:p w:rsidR="008F2EB6" w:rsidRPr="00607022" w:rsidRDefault="008F2EB6" w:rsidP="008F2EB6">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w:t>
            </w:r>
            <w:r>
              <w:rPr>
                <w:rFonts w:ascii="Times New Roman" w:hAnsi="Times New Roman" w:cs="Times New Roman"/>
                <w:b/>
                <w:bCs/>
                <w:sz w:val="20"/>
                <w:szCs w:val="20"/>
                <w:lang w:eastAsia="en-GB"/>
              </w:rPr>
              <w:t>150,000</w:t>
            </w:r>
            <w:r w:rsidRPr="00607022">
              <w:rPr>
                <w:rFonts w:ascii="Times New Roman" w:hAnsi="Times New Roman" w:cs="Times New Roman"/>
                <w:b/>
                <w:bCs/>
                <w:sz w:val="20"/>
                <w:szCs w:val="20"/>
                <w:lang w:eastAsia="en-GB"/>
              </w:rPr>
              <w:t>)</w:t>
            </w:r>
          </w:p>
        </w:tc>
        <w:tc>
          <w:tcPr>
            <w:tcW w:w="277" w:type="dxa"/>
            <w:tcBorders>
              <w:top w:val="nil"/>
              <w:left w:val="nil"/>
              <w:bottom w:val="nil"/>
              <w:right w:val="nil"/>
            </w:tcBorders>
            <w:shd w:val="clear" w:color="auto" w:fill="auto"/>
            <w:noWrap/>
            <w:vAlign w:val="center"/>
            <w:hideMark/>
          </w:tcPr>
          <w:p w:rsidR="008F2EB6" w:rsidRPr="00607022" w:rsidRDefault="008F2EB6" w:rsidP="00361109">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8F2EB6" w:rsidRPr="00C34A99" w:rsidRDefault="008F2EB6" w:rsidP="00361109">
            <w:pPr>
              <w:spacing w:after="0" w:line="240" w:lineRule="auto"/>
              <w:jc w:val="right"/>
              <w:rPr>
                <w:rFonts w:ascii="Times New Roman" w:hAnsi="Times New Roman" w:cs="Times New Roman"/>
                <w:bCs/>
                <w:sz w:val="20"/>
                <w:szCs w:val="20"/>
                <w:lang w:eastAsia="en-GB"/>
              </w:rPr>
            </w:pPr>
            <w:r>
              <w:rPr>
                <w:rFonts w:ascii="Times New Roman" w:hAnsi="Times New Roman" w:cs="Times New Roman"/>
                <w:bCs/>
                <w:sz w:val="20"/>
                <w:szCs w:val="20"/>
                <w:lang w:eastAsia="en-GB"/>
              </w:rPr>
              <w:t>-</w:t>
            </w:r>
          </w:p>
        </w:tc>
      </w:tr>
      <w:tr w:rsidR="00C34A99" w:rsidRPr="00607022" w:rsidTr="00361109">
        <w:trPr>
          <w:cantSplit/>
          <w:trHeight w:hRule="exact" w:val="327"/>
        </w:trPr>
        <w:tc>
          <w:tcPr>
            <w:tcW w:w="539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Cash flow used in financing activities</w:t>
            </w:r>
          </w:p>
        </w:tc>
        <w:tc>
          <w:tcPr>
            <w:tcW w:w="2000" w:type="dxa"/>
            <w:tcBorders>
              <w:top w:val="single" w:sz="4" w:space="0" w:color="auto"/>
              <w:left w:val="nil"/>
              <w:bottom w:val="single" w:sz="4" w:space="0" w:color="auto"/>
              <w:right w:val="nil"/>
            </w:tcBorders>
            <w:shd w:val="clear" w:color="auto" w:fill="auto"/>
            <w:noWrap/>
            <w:vAlign w:val="center"/>
          </w:tcPr>
          <w:p w:rsidR="00C34A99" w:rsidRPr="00607022" w:rsidRDefault="00C34A99" w:rsidP="007818BD">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w:t>
            </w:r>
            <w:r w:rsidR="007818BD">
              <w:rPr>
                <w:rFonts w:ascii="Times New Roman" w:hAnsi="Times New Roman" w:cs="Times New Roman"/>
                <w:b/>
                <w:bCs/>
                <w:sz w:val="20"/>
                <w:szCs w:val="20"/>
                <w:lang w:eastAsia="en-GB"/>
              </w:rPr>
              <w:t>13,059,155</w:t>
            </w:r>
            <w:r w:rsidRPr="00607022">
              <w:rPr>
                <w:rFonts w:ascii="Times New Roman" w:hAnsi="Times New Roman" w:cs="Times New Roman"/>
                <w:b/>
                <w:bCs/>
                <w:sz w:val="20"/>
                <w:szCs w:val="20"/>
                <w:lang w:eastAsia="en-GB"/>
              </w:rPr>
              <w:t>)</w:t>
            </w:r>
          </w:p>
        </w:tc>
        <w:tc>
          <w:tcPr>
            <w:tcW w:w="27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sz w:val="20"/>
                <w:szCs w:val="20"/>
                <w:lang w:eastAsia="en-GB"/>
              </w:rPr>
            </w:pPr>
          </w:p>
        </w:tc>
        <w:tc>
          <w:tcPr>
            <w:tcW w:w="1574" w:type="dxa"/>
            <w:tcBorders>
              <w:top w:val="single" w:sz="4" w:space="0" w:color="auto"/>
              <w:left w:val="nil"/>
              <w:bottom w:val="single" w:sz="4" w:space="0" w:color="auto"/>
              <w:right w:val="nil"/>
            </w:tcBorders>
            <w:shd w:val="clear" w:color="auto" w:fill="auto"/>
            <w:vAlign w:val="center"/>
          </w:tcPr>
          <w:p w:rsidR="00C34A99" w:rsidRPr="00C34A99" w:rsidRDefault="00C34A99" w:rsidP="00C34A99">
            <w:pPr>
              <w:spacing w:after="0" w:line="240" w:lineRule="auto"/>
              <w:jc w:val="right"/>
              <w:rPr>
                <w:rFonts w:ascii="Times New Roman" w:hAnsi="Times New Roman" w:cs="Times New Roman"/>
                <w:bCs/>
                <w:sz w:val="20"/>
                <w:szCs w:val="20"/>
                <w:lang w:eastAsia="en-GB"/>
              </w:rPr>
            </w:pPr>
            <w:r w:rsidRPr="00C34A99">
              <w:rPr>
                <w:rFonts w:ascii="Times New Roman" w:hAnsi="Times New Roman" w:cs="Times New Roman"/>
                <w:bCs/>
                <w:sz w:val="20"/>
                <w:szCs w:val="20"/>
                <w:lang w:eastAsia="en-GB"/>
              </w:rPr>
              <w:t>(3,626,832)</w:t>
            </w:r>
          </w:p>
        </w:tc>
      </w:tr>
      <w:tr w:rsidR="00C34A99" w:rsidRPr="00607022" w:rsidTr="00361109">
        <w:trPr>
          <w:cantSplit/>
          <w:trHeight w:val="296"/>
        </w:trPr>
        <w:tc>
          <w:tcPr>
            <w:tcW w:w="0" w:type="auto"/>
            <w:tcBorders>
              <w:top w:val="nil"/>
              <w:left w:val="nil"/>
              <w:bottom w:val="nil"/>
              <w:right w:val="nil"/>
            </w:tcBorders>
            <w:shd w:val="clear" w:color="auto" w:fill="auto"/>
            <w:noWrap/>
            <w:vAlign w:val="bottom"/>
            <w:hideMark/>
          </w:tcPr>
          <w:p w:rsidR="00C34A99" w:rsidRPr="00607022" w:rsidRDefault="00C34A99" w:rsidP="00C34A99">
            <w:pPr>
              <w:spacing w:after="0" w:line="240" w:lineRule="auto"/>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Net increase in cash and cash equivalents</w:t>
            </w:r>
          </w:p>
        </w:tc>
        <w:tc>
          <w:tcPr>
            <w:tcW w:w="0" w:type="auto"/>
            <w:tcBorders>
              <w:top w:val="nil"/>
              <w:left w:val="nil"/>
              <w:right w:val="nil"/>
            </w:tcBorders>
            <w:shd w:val="clear" w:color="auto" w:fill="auto"/>
            <w:noWrap/>
            <w:vAlign w:val="bottom"/>
          </w:tcPr>
          <w:p w:rsidR="00C34A99" w:rsidRPr="00607022" w:rsidRDefault="007818BD" w:rsidP="00C34A99">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(5,599,449)</w:t>
            </w:r>
          </w:p>
        </w:tc>
        <w:tc>
          <w:tcPr>
            <w:tcW w:w="0" w:type="auto"/>
            <w:tcBorders>
              <w:top w:val="nil"/>
              <w:left w:val="nil"/>
              <w:right w:val="nil"/>
            </w:tcBorders>
            <w:shd w:val="clear" w:color="auto" w:fill="auto"/>
            <w:noWrap/>
            <w:vAlign w:val="bottom"/>
            <w:hideMark/>
          </w:tcPr>
          <w:p w:rsidR="00C34A99" w:rsidRPr="00607022" w:rsidRDefault="00C34A99" w:rsidP="00C34A99">
            <w:pPr>
              <w:spacing w:after="0" w:line="240" w:lineRule="auto"/>
              <w:rPr>
                <w:rFonts w:ascii="Times New Roman" w:hAnsi="Times New Roman" w:cs="Times New Roman"/>
                <w:sz w:val="20"/>
                <w:szCs w:val="20"/>
                <w:lang w:eastAsia="en-GB"/>
              </w:rPr>
            </w:pPr>
          </w:p>
        </w:tc>
        <w:tc>
          <w:tcPr>
            <w:tcW w:w="1574" w:type="dxa"/>
            <w:tcBorders>
              <w:top w:val="nil"/>
              <w:left w:val="nil"/>
              <w:right w:val="nil"/>
            </w:tcBorders>
            <w:shd w:val="clear" w:color="auto" w:fill="auto"/>
            <w:vAlign w:val="bottom"/>
          </w:tcPr>
          <w:p w:rsidR="00C34A99" w:rsidRPr="00C34A99" w:rsidRDefault="00C34A99" w:rsidP="00C34A99">
            <w:pPr>
              <w:spacing w:after="0" w:line="240" w:lineRule="auto"/>
              <w:jc w:val="right"/>
              <w:rPr>
                <w:rFonts w:ascii="Times New Roman" w:hAnsi="Times New Roman" w:cs="Times New Roman"/>
                <w:bCs/>
                <w:sz w:val="20"/>
                <w:szCs w:val="20"/>
                <w:lang w:eastAsia="en-GB"/>
              </w:rPr>
            </w:pPr>
            <w:r w:rsidRPr="00C34A99">
              <w:rPr>
                <w:rFonts w:ascii="Times New Roman" w:hAnsi="Times New Roman" w:cs="Times New Roman"/>
                <w:bCs/>
                <w:sz w:val="20"/>
                <w:szCs w:val="20"/>
                <w:lang w:eastAsia="en-GB"/>
              </w:rPr>
              <w:t>7,523,544</w:t>
            </w:r>
          </w:p>
        </w:tc>
      </w:tr>
      <w:tr w:rsidR="00C34A99" w:rsidRPr="00607022" w:rsidTr="00361109">
        <w:trPr>
          <w:cantSplit/>
          <w:trHeight w:hRule="exact" w:val="275"/>
        </w:trPr>
        <w:tc>
          <w:tcPr>
            <w:tcW w:w="0" w:type="auto"/>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sz w:val="20"/>
                <w:szCs w:val="20"/>
                <w:highlight w:val="yellow"/>
                <w:lang w:eastAsia="en-GB"/>
              </w:rPr>
            </w:pPr>
          </w:p>
        </w:tc>
        <w:tc>
          <w:tcPr>
            <w:tcW w:w="2000" w:type="dxa"/>
            <w:tcBorders>
              <w:top w:val="nil"/>
              <w:left w:val="nil"/>
              <w:bottom w:val="nil"/>
              <w:right w:val="nil"/>
            </w:tcBorders>
            <w:shd w:val="clear" w:color="auto" w:fill="auto"/>
            <w:noWrap/>
            <w:vAlign w:val="center"/>
          </w:tcPr>
          <w:p w:rsidR="00C34A99" w:rsidRPr="00607022" w:rsidRDefault="00C34A99" w:rsidP="00C34A99">
            <w:pPr>
              <w:spacing w:after="0" w:line="240" w:lineRule="auto"/>
              <w:rPr>
                <w:rFonts w:ascii="Times New Roman" w:hAnsi="Times New Roman" w:cs="Times New Roman"/>
                <w:b/>
                <w:bCs/>
                <w:sz w:val="20"/>
                <w:szCs w:val="20"/>
                <w:lang w:eastAsia="en-GB"/>
              </w:rPr>
            </w:pPr>
          </w:p>
        </w:tc>
        <w:tc>
          <w:tcPr>
            <w:tcW w:w="27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sz w:val="20"/>
                <w:szCs w:val="20"/>
                <w:highlight w:val="yellow"/>
                <w:lang w:eastAsia="en-GB"/>
              </w:rPr>
            </w:pPr>
          </w:p>
        </w:tc>
        <w:tc>
          <w:tcPr>
            <w:tcW w:w="1574" w:type="dxa"/>
            <w:tcBorders>
              <w:top w:val="nil"/>
              <w:left w:val="nil"/>
              <w:bottom w:val="nil"/>
              <w:right w:val="nil"/>
            </w:tcBorders>
            <w:shd w:val="clear" w:color="auto" w:fill="auto"/>
            <w:vAlign w:val="center"/>
          </w:tcPr>
          <w:p w:rsidR="00C34A99" w:rsidRPr="00C34A99" w:rsidRDefault="00C34A99" w:rsidP="00C34A99">
            <w:pPr>
              <w:spacing w:after="0" w:line="240" w:lineRule="auto"/>
              <w:rPr>
                <w:rFonts w:ascii="Times New Roman" w:hAnsi="Times New Roman" w:cs="Times New Roman"/>
                <w:bCs/>
                <w:sz w:val="20"/>
                <w:szCs w:val="20"/>
                <w:lang w:eastAsia="en-GB"/>
              </w:rPr>
            </w:pPr>
          </w:p>
        </w:tc>
      </w:tr>
      <w:tr w:rsidR="00C34A99" w:rsidRPr="00607022" w:rsidTr="00361109">
        <w:trPr>
          <w:cantSplit/>
          <w:trHeight w:hRule="exact" w:val="340"/>
        </w:trPr>
        <w:tc>
          <w:tcPr>
            <w:tcW w:w="0" w:type="auto"/>
            <w:tcBorders>
              <w:top w:val="nil"/>
              <w:left w:val="nil"/>
              <w:bottom w:val="nil"/>
              <w:right w:val="nil"/>
            </w:tcBorders>
            <w:shd w:val="clear" w:color="auto" w:fill="auto"/>
            <w:noWrap/>
            <w:vAlign w:val="bottom"/>
            <w:hideMark/>
          </w:tcPr>
          <w:p w:rsidR="00C34A99" w:rsidRPr="00607022" w:rsidRDefault="00C34A99" w:rsidP="00C34A99">
            <w:pPr>
              <w:spacing w:after="0" w:line="240" w:lineRule="auto"/>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Cash and cash equivalents - opening</w:t>
            </w:r>
          </w:p>
        </w:tc>
        <w:tc>
          <w:tcPr>
            <w:tcW w:w="2000" w:type="dxa"/>
            <w:tcBorders>
              <w:top w:val="nil"/>
              <w:left w:val="nil"/>
              <w:bottom w:val="nil"/>
              <w:right w:val="nil"/>
            </w:tcBorders>
            <w:shd w:val="clear" w:color="auto" w:fill="auto"/>
            <w:noWrap/>
            <w:vAlign w:val="bottom"/>
          </w:tcPr>
          <w:p w:rsidR="00C34A99" w:rsidRPr="00607022" w:rsidRDefault="007818BD" w:rsidP="00C34A99">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6,243,048</w:t>
            </w:r>
          </w:p>
        </w:tc>
        <w:tc>
          <w:tcPr>
            <w:tcW w:w="277" w:type="dxa"/>
            <w:tcBorders>
              <w:top w:val="nil"/>
              <w:left w:val="nil"/>
              <w:bottom w:val="nil"/>
              <w:right w:val="nil"/>
            </w:tcBorders>
            <w:shd w:val="clear" w:color="auto" w:fill="auto"/>
            <w:noWrap/>
            <w:vAlign w:val="bottom"/>
            <w:hideMark/>
          </w:tcPr>
          <w:p w:rsidR="00C34A99" w:rsidRPr="00607022" w:rsidRDefault="00C34A99" w:rsidP="00C34A99">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bottom"/>
          </w:tcPr>
          <w:p w:rsidR="00C34A99" w:rsidRPr="00C34A99" w:rsidRDefault="00C34A99" w:rsidP="00C34A99">
            <w:pPr>
              <w:spacing w:after="0" w:line="240" w:lineRule="auto"/>
              <w:jc w:val="right"/>
              <w:rPr>
                <w:rFonts w:ascii="Times New Roman" w:hAnsi="Times New Roman" w:cs="Times New Roman"/>
                <w:bCs/>
                <w:sz w:val="20"/>
                <w:szCs w:val="20"/>
                <w:lang w:eastAsia="en-GB"/>
              </w:rPr>
            </w:pPr>
            <w:r w:rsidRPr="00C34A99">
              <w:rPr>
                <w:rFonts w:ascii="Times New Roman" w:hAnsi="Times New Roman" w:cs="Times New Roman"/>
                <w:bCs/>
                <w:sz w:val="20"/>
                <w:szCs w:val="20"/>
                <w:lang w:eastAsia="en-GB"/>
              </w:rPr>
              <w:t>(1,205,408)</w:t>
            </w:r>
          </w:p>
        </w:tc>
      </w:tr>
      <w:tr w:rsidR="00C34A99" w:rsidRPr="00607022" w:rsidTr="00361109">
        <w:trPr>
          <w:cantSplit/>
          <w:trHeight w:hRule="exact" w:val="340"/>
        </w:trPr>
        <w:tc>
          <w:tcPr>
            <w:tcW w:w="0" w:type="auto"/>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sz w:val="20"/>
                <w:szCs w:val="20"/>
                <w:lang w:eastAsia="en-GB"/>
              </w:rPr>
            </w:pPr>
            <w:r w:rsidRPr="00607022">
              <w:rPr>
                <w:rFonts w:ascii="Times New Roman" w:hAnsi="Times New Roman" w:cs="Times New Roman"/>
                <w:sz w:val="20"/>
                <w:szCs w:val="20"/>
                <w:lang w:eastAsia="en-GB"/>
              </w:rPr>
              <w:t>Effect of foreign exchange rate changes</w:t>
            </w:r>
          </w:p>
        </w:tc>
        <w:tc>
          <w:tcPr>
            <w:tcW w:w="2000" w:type="dxa"/>
            <w:tcBorders>
              <w:top w:val="nil"/>
              <w:left w:val="nil"/>
              <w:bottom w:val="nil"/>
              <w:right w:val="nil"/>
            </w:tcBorders>
            <w:shd w:val="clear" w:color="auto" w:fill="auto"/>
            <w:noWrap/>
            <w:vAlign w:val="center"/>
          </w:tcPr>
          <w:p w:rsidR="00C34A99" w:rsidRPr="00607022" w:rsidRDefault="007818BD" w:rsidP="00C34A99">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50,344</w:t>
            </w:r>
          </w:p>
        </w:tc>
        <w:tc>
          <w:tcPr>
            <w:tcW w:w="27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C34A99" w:rsidRPr="00C34A99" w:rsidRDefault="00C34A99" w:rsidP="00C34A99">
            <w:pPr>
              <w:spacing w:after="0" w:line="240" w:lineRule="auto"/>
              <w:jc w:val="right"/>
              <w:rPr>
                <w:rFonts w:ascii="Times New Roman" w:hAnsi="Times New Roman" w:cs="Times New Roman"/>
                <w:bCs/>
                <w:sz w:val="20"/>
                <w:szCs w:val="20"/>
                <w:lang w:eastAsia="en-GB"/>
              </w:rPr>
            </w:pPr>
            <w:r w:rsidRPr="00C34A99">
              <w:rPr>
                <w:rFonts w:ascii="Times New Roman" w:hAnsi="Times New Roman" w:cs="Times New Roman"/>
                <w:bCs/>
                <w:sz w:val="20"/>
                <w:szCs w:val="20"/>
                <w:lang w:eastAsia="en-GB"/>
              </w:rPr>
              <w:t>(75,088)</w:t>
            </w:r>
          </w:p>
        </w:tc>
      </w:tr>
      <w:tr w:rsidR="00C34A99" w:rsidRPr="00607022" w:rsidTr="00361109">
        <w:trPr>
          <w:cantSplit/>
          <w:trHeight w:hRule="exact" w:val="340"/>
        </w:trPr>
        <w:tc>
          <w:tcPr>
            <w:tcW w:w="0" w:type="auto"/>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Cash and cash equivalents at 30 June</w:t>
            </w:r>
          </w:p>
        </w:tc>
        <w:tc>
          <w:tcPr>
            <w:tcW w:w="2000" w:type="dxa"/>
            <w:tcBorders>
              <w:top w:val="single" w:sz="4" w:space="0" w:color="auto"/>
              <w:left w:val="nil"/>
              <w:bottom w:val="single" w:sz="8" w:space="0" w:color="auto"/>
              <w:right w:val="nil"/>
            </w:tcBorders>
            <w:shd w:val="clear" w:color="auto" w:fill="auto"/>
            <w:noWrap/>
            <w:vAlign w:val="center"/>
          </w:tcPr>
          <w:p w:rsidR="00C34A99" w:rsidRPr="00607022" w:rsidRDefault="007818BD" w:rsidP="00C34A99">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693,943</w:t>
            </w:r>
          </w:p>
        </w:tc>
        <w:tc>
          <w:tcPr>
            <w:tcW w:w="277" w:type="dxa"/>
            <w:tcBorders>
              <w:top w:val="nil"/>
              <w:left w:val="nil"/>
              <w:bottom w:val="nil"/>
              <w:right w:val="nil"/>
            </w:tcBorders>
            <w:shd w:val="clear" w:color="auto" w:fill="auto"/>
            <w:noWrap/>
            <w:vAlign w:val="center"/>
            <w:hideMark/>
          </w:tcPr>
          <w:p w:rsidR="00C34A99" w:rsidRPr="00607022" w:rsidRDefault="00C34A99" w:rsidP="00C34A99">
            <w:pPr>
              <w:spacing w:after="0" w:line="240" w:lineRule="auto"/>
              <w:rPr>
                <w:rFonts w:ascii="Times New Roman" w:hAnsi="Times New Roman" w:cs="Times New Roman"/>
                <w:sz w:val="20"/>
                <w:szCs w:val="20"/>
                <w:lang w:eastAsia="en-GB"/>
              </w:rPr>
            </w:pPr>
          </w:p>
        </w:tc>
        <w:tc>
          <w:tcPr>
            <w:tcW w:w="1574" w:type="dxa"/>
            <w:tcBorders>
              <w:top w:val="single" w:sz="4" w:space="0" w:color="auto"/>
              <w:left w:val="nil"/>
              <w:bottom w:val="single" w:sz="8" w:space="0" w:color="auto"/>
              <w:right w:val="nil"/>
            </w:tcBorders>
            <w:shd w:val="clear" w:color="auto" w:fill="auto"/>
            <w:vAlign w:val="center"/>
          </w:tcPr>
          <w:p w:rsidR="00C34A99" w:rsidRPr="00C34A99" w:rsidRDefault="00C34A99" w:rsidP="00C34A99">
            <w:pPr>
              <w:spacing w:after="0" w:line="240" w:lineRule="auto"/>
              <w:jc w:val="right"/>
              <w:rPr>
                <w:rFonts w:ascii="Times New Roman" w:hAnsi="Times New Roman" w:cs="Times New Roman"/>
                <w:bCs/>
                <w:sz w:val="20"/>
                <w:szCs w:val="20"/>
                <w:lang w:eastAsia="en-GB"/>
              </w:rPr>
            </w:pPr>
            <w:r w:rsidRPr="00C34A99">
              <w:rPr>
                <w:rFonts w:ascii="Times New Roman" w:hAnsi="Times New Roman" w:cs="Times New Roman"/>
                <w:bCs/>
                <w:sz w:val="20"/>
                <w:szCs w:val="20"/>
                <w:lang w:eastAsia="en-GB"/>
              </w:rPr>
              <w:t>6,243,048</w:t>
            </w:r>
          </w:p>
        </w:tc>
      </w:tr>
    </w:tbl>
    <w:p w:rsidR="00433406" w:rsidRPr="00607022" w:rsidRDefault="00433406" w:rsidP="007818BD">
      <w:pPr>
        <w:spacing w:after="0" w:line="240" w:lineRule="auto"/>
        <w:rPr>
          <w:rFonts w:cs="Times New Roman"/>
        </w:rPr>
      </w:pPr>
    </w:p>
    <w:sectPr w:rsidR="00433406" w:rsidRPr="00607022" w:rsidSect="0016297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109" w:rsidRDefault="00361109" w:rsidP="00433406">
      <w:pPr>
        <w:spacing w:after="0" w:line="240" w:lineRule="auto"/>
      </w:pPr>
      <w:r>
        <w:separator/>
      </w:r>
    </w:p>
  </w:endnote>
  <w:endnote w:type="continuationSeparator" w:id="0">
    <w:p w:rsidR="00361109" w:rsidRDefault="00361109" w:rsidP="00433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B45" w:rsidRDefault="00603B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109" w:rsidRPr="00603B45" w:rsidRDefault="00361109" w:rsidP="00603B45">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B45" w:rsidRDefault="00603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109" w:rsidRDefault="00361109" w:rsidP="00433406">
      <w:pPr>
        <w:spacing w:after="0" w:line="240" w:lineRule="auto"/>
      </w:pPr>
      <w:r>
        <w:separator/>
      </w:r>
    </w:p>
  </w:footnote>
  <w:footnote w:type="continuationSeparator" w:id="0">
    <w:p w:rsidR="00361109" w:rsidRDefault="00361109" w:rsidP="00433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B45" w:rsidRDefault="00603B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B45" w:rsidRPr="00603B45" w:rsidRDefault="00603B45" w:rsidP="00603B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B45" w:rsidRDefault="00603B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007"/>
    <w:rsid w:val="00001B0D"/>
    <w:rsid w:val="00015D56"/>
    <w:rsid w:val="00023C32"/>
    <w:rsid w:val="00052504"/>
    <w:rsid w:val="000B2050"/>
    <w:rsid w:val="00162970"/>
    <w:rsid w:val="001D66F8"/>
    <w:rsid w:val="001E439D"/>
    <w:rsid w:val="00210983"/>
    <w:rsid w:val="002654DD"/>
    <w:rsid w:val="0026629C"/>
    <w:rsid w:val="002719AE"/>
    <w:rsid w:val="00276385"/>
    <w:rsid w:val="002C6DB7"/>
    <w:rsid w:val="002F1985"/>
    <w:rsid w:val="002F46E0"/>
    <w:rsid w:val="0033032F"/>
    <w:rsid w:val="00333712"/>
    <w:rsid w:val="00345D34"/>
    <w:rsid w:val="00361109"/>
    <w:rsid w:val="003A799A"/>
    <w:rsid w:val="003B1479"/>
    <w:rsid w:val="003B2695"/>
    <w:rsid w:val="003D7ED7"/>
    <w:rsid w:val="003E2868"/>
    <w:rsid w:val="00412242"/>
    <w:rsid w:val="00433406"/>
    <w:rsid w:val="004872B5"/>
    <w:rsid w:val="004A55DD"/>
    <w:rsid w:val="004D4F6E"/>
    <w:rsid w:val="004F0C9E"/>
    <w:rsid w:val="004F3550"/>
    <w:rsid w:val="005105EC"/>
    <w:rsid w:val="00537741"/>
    <w:rsid w:val="00542396"/>
    <w:rsid w:val="0056180C"/>
    <w:rsid w:val="00582B6E"/>
    <w:rsid w:val="005E0DDB"/>
    <w:rsid w:val="00603B45"/>
    <w:rsid w:val="00607022"/>
    <w:rsid w:val="00640D70"/>
    <w:rsid w:val="006A658F"/>
    <w:rsid w:val="006B1A5B"/>
    <w:rsid w:val="006C61DF"/>
    <w:rsid w:val="006C7E08"/>
    <w:rsid w:val="006D2681"/>
    <w:rsid w:val="006F3003"/>
    <w:rsid w:val="0074154D"/>
    <w:rsid w:val="007557C0"/>
    <w:rsid w:val="007818BD"/>
    <w:rsid w:val="007E1BDE"/>
    <w:rsid w:val="008326FC"/>
    <w:rsid w:val="00843360"/>
    <w:rsid w:val="008566B2"/>
    <w:rsid w:val="00882370"/>
    <w:rsid w:val="008C7C1A"/>
    <w:rsid w:val="008D2D49"/>
    <w:rsid w:val="008F2EB6"/>
    <w:rsid w:val="008F490B"/>
    <w:rsid w:val="009130EC"/>
    <w:rsid w:val="00926C5A"/>
    <w:rsid w:val="00927F90"/>
    <w:rsid w:val="00952275"/>
    <w:rsid w:val="009677DF"/>
    <w:rsid w:val="00972124"/>
    <w:rsid w:val="00973488"/>
    <w:rsid w:val="0099400C"/>
    <w:rsid w:val="00A06A8C"/>
    <w:rsid w:val="00A3702E"/>
    <w:rsid w:val="00AB4A7D"/>
    <w:rsid w:val="00AC7871"/>
    <w:rsid w:val="00AD520D"/>
    <w:rsid w:val="00B320CF"/>
    <w:rsid w:val="00B94DDE"/>
    <w:rsid w:val="00BA2A4E"/>
    <w:rsid w:val="00BB7D50"/>
    <w:rsid w:val="00BD36B5"/>
    <w:rsid w:val="00C34A99"/>
    <w:rsid w:val="00C50D7E"/>
    <w:rsid w:val="00C56BE6"/>
    <w:rsid w:val="00D11E0D"/>
    <w:rsid w:val="00D23979"/>
    <w:rsid w:val="00D45107"/>
    <w:rsid w:val="00D75B91"/>
    <w:rsid w:val="00D825B8"/>
    <w:rsid w:val="00D855A0"/>
    <w:rsid w:val="00DC7B28"/>
    <w:rsid w:val="00DE286B"/>
    <w:rsid w:val="00DF1558"/>
    <w:rsid w:val="00DF2F66"/>
    <w:rsid w:val="00E215C9"/>
    <w:rsid w:val="00E33007"/>
    <w:rsid w:val="00E44BAA"/>
    <w:rsid w:val="00E55D88"/>
    <w:rsid w:val="00E61F3B"/>
    <w:rsid w:val="00E84E57"/>
    <w:rsid w:val="00F5449F"/>
    <w:rsid w:val="00F80EDE"/>
    <w:rsid w:val="00FC5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F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406"/>
  </w:style>
  <w:style w:type="paragraph" w:styleId="Footer">
    <w:name w:val="footer"/>
    <w:basedOn w:val="Normal"/>
    <w:link w:val="FooterChar"/>
    <w:uiPriority w:val="99"/>
    <w:unhideWhenUsed/>
    <w:rsid w:val="00433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406"/>
  </w:style>
  <w:style w:type="character" w:styleId="Hyperlink">
    <w:name w:val="Hyperlink"/>
    <w:basedOn w:val="DefaultParagraphFont"/>
    <w:uiPriority w:val="99"/>
    <w:unhideWhenUsed/>
    <w:rsid w:val="003D7ED7"/>
    <w:rPr>
      <w:color w:val="0000FF" w:themeColor="hyperlink"/>
      <w:u w:val="single"/>
    </w:rPr>
  </w:style>
  <w:style w:type="paragraph" w:styleId="BalloonText">
    <w:name w:val="Balloon Text"/>
    <w:basedOn w:val="Normal"/>
    <w:link w:val="BalloonTextChar"/>
    <w:uiPriority w:val="99"/>
    <w:semiHidden/>
    <w:unhideWhenUsed/>
    <w:rsid w:val="00E55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D88"/>
    <w:rPr>
      <w:rFonts w:ascii="Tahoma" w:hAnsi="Tahoma" w:cs="Tahoma"/>
      <w:sz w:val="16"/>
      <w:szCs w:val="16"/>
    </w:rPr>
  </w:style>
  <w:style w:type="paragraph" w:customStyle="1" w:styleId="Pa0">
    <w:name w:val="Pa0"/>
    <w:basedOn w:val="Normal"/>
    <w:next w:val="Normal"/>
    <w:uiPriority w:val="99"/>
    <w:rsid w:val="004872B5"/>
    <w:pPr>
      <w:autoSpaceDE w:val="0"/>
      <w:autoSpaceDN w:val="0"/>
      <w:adjustRightInd w:val="0"/>
      <w:spacing w:after="0" w:line="241" w:lineRule="atLeast"/>
    </w:pPr>
    <w:rPr>
      <w:rFonts w:ascii="Times New Roman" w:hAnsi="Times New Roman" w:cs="Times New Roman"/>
      <w:sz w:val="24"/>
      <w:szCs w:val="24"/>
    </w:rPr>
  </w:style>
  <w:style w:type="character" w:customStyle="1" w:styleId="A4">
    <w:name w:val="A4"/>
    <w:uiPriority w:val="99"/>
    <w:rsid w:val="004872B5"/>
    <w:rPr>
      <w:color w:val="000000"/>
      <w:sz w:val="18"/>
      <w:szCs w:val="18"/>
    </w:rPr>
  </w:style>
  <w:style w:type="paragraph" w:styleId="ListParagraph">
    <w:name w:val="List Paragraph"/>
    <w:basedOn w:val="Normal"/>
    <w:uiPriority w:val="34"/>
    <w:qFormat/>
    <w:rsid w:val="00DF15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F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406"/>
  </w:style>
  <w:style w:type="paragraph" w:styleId="Footer">
    <w:name w:val="footer"/>
    <w:basedOn w:val="Normal"/>
    <w:link w:val="FooterChar"/>
    <w:uiPriority w:val="99"/>
    <w:unhideWhenUsed/>
    <w:rsid w:val="00433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406"/>
  </w:style>
  <w:style w:type="character" w:styleId="Hyperlink">
    <w:name w:val="Hyperlink"/>
    <w:basedOn w:val="DefaultParagraphFont"/>
    <w:uiPriority w:val="99"/>
    <w:unhideWhenUsed/>
    <w:rsid w:val="003D7ED7"/>
    <w:rPr>
      <w:color w:val="0000FF" w:themeColor="hyperlink"/>
      <w:u w:val="single"/>
    </w:rPr>
  </w:style>
  <w:style w:type="paragraph" w:styleId="BalloonText">
    <w:name w:val="Balloon Text"/>
    <w:basedOn w:val="Normal"/>
    <w:link w:val="BalloonTextChar"/>
    <w:uiPriority w:val="99"/>
    <w:semiHidden/>
    <w:unhideWhenUsed/>
    <w:rsid w:val="00E55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D88"/>
    <w:rPr>
      <w:rFonts w:ascii="Tahoma" w:hAnsi="Tahoma" w:cs="Tahoma"/>
      <w:sz w:val="16"/>
      <w:szCs w:val="16"/>
    </w:rPr>
  </w:style>
  <w:style w:type="paragraph" w:customStyle="1" w:styleId="Pa0">
    <w:name w:val="Pa0"/>
    <w:basedOn w:val="Normal"/>
    <w:next w:val="Normal"/>
    <w:uiPriority w:val="99"/>
    <w:rsid w:val="004872B5"/>
    <w:pPr>
      <w:autoSpaceDE w:val="0"/>
      <w:autoSpaceDN w:val="0"/>
      <w:adjustRightInd w:val="0"/>
      <w:spacing w:after="0" w:line="241" w:lineRule="atLeast"/>
    </w:pPr>
    <w:rPr>
      <w:rFonts w:ascii="Times New Roman" w:hAnsi="Times New Roman" w:cs="Times New Roman"/>
      <w:sz w:val="24"/>
      <w:szCs w:val="24"/>
    </w:rPr>
  </w:style>
  <w:style w:type="character" w:customStyle="1" w:styleId="A4">
    <w:name w:val="A4"/>
    <w:uiPriority w:val="99"/>
    <w:rsid w:val="004872B5"/>
    <w:rPr>
      <w:color w:val="000000"/>
      <w:sz w:val="18"/>
      <w:szCs w:val="18"/>
    </w:rPr>
  </w:style>
  <w:style w:type="paragraph" w:styleId="ListParagraph">
    <w:name w:val="List Paragraph"/>
    <w:basedOn w:val="Normal"/>
    <w:uiPriority w:val="34"/>
    <w:qFormat/>
    <w:rsid w:val="00DF1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oro.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69910-FB41-4642-AF42-3854C654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7</Pages>
  <Words>2874</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steven.mckeane</dc:creator>
  <cp:lastModifiedBy>Chris Copperwaite</cp:lastModifiedBy>
  <cp:revision>8</cp:revision>
  <cp:lastPrinted>2016-10-04T10:26:00Z</cp:lastPrinted>
  <dcterms:created xsi:type="dcterms:W3CDTF">2016-10-04T09:06:00Z</dcterms:created>
  <dcterms:modified xsi:type="dcterms:W3CDTF">2016-10-04T14:50:00Z</dcterms:modified>
</cp:coreProperties>
</file>