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The El Oro Group’s operating loss before taxation for the year ended 30 June 2018 was £1,618,854 (operating profit before taxation for the year ended 30 June 2017: £7,426,687). The Group’s net assets at 30 June 2018 were £53,668,935 or 85.0p per share (net assets at 30 June 2017: £55,680,730 or 88.1p per share).</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Shareholders will naturally look askance at a loss occurring in a year of generally favourable returns, albeit skewed towards holders of the FAANGS, whose funds have appreciated around 48% in the past 18 months, as against 11% for value oriented funds. We have, however, taken a particularly conservative look at our unlisted investments, some entered into many years ago, which explains some of the size of the write-downs precipitating the loss.</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Whilst your Company approaches the denouement of the vote passed in November 2016, it faces its future (whatever that may be) in much finer fettle than for several years. The remainder of the borrowings from Lloyds Bank were paid off in May 2018, although to achieve that we have sacrificed some of our better stocks, including part of our Young and Co. holding.</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The only bugbear on the horizon is the pernicious issue of swaps: these were regrettably purchased to protect the Company from a rise in interest rates: in fact the opposite occurred and a 9 year experiment in ‘</w:t>
      </w:r>
      <w:proofErr w:type="spellStart"/>
      <w:r w:rsidRPr="00DA25B8">
        <w:rPr>
          <w:rFonts w:ascii="TimesNewRomanPSMT" w:hAnsi="TimesNewRomanPSMT" w:cs="TimesNewRomanPSMT"/>
          <w:color w:val="000000"/>
          <w:sz w:val="20"/>
          <w:szCs w:val="20"/>
        </w:rPr>
        <w:t>quantitive</w:t>
      </w:r>
      <w:proofErr w:type="spellEnd"/>
      <w:r w:rsidRPr="00DA25B8">
        <w:rPr>
          <w:rFonts w:ascii="TimesNewRomanPSMT" w:hAnsi="TimesNewRomanPSMT" w:cs="TimesNewRomanPSMT"/>
          <w:color w:val="000000"/>
          <w:sz w:val="20"/>
          <w:szCs w:val="20"/>
        </w:rPr>
        <w:t xml:space="preserve"> easing’ ensued: achieving an increase in asset prices, the solvency of banks and income levels of the already wealthy, but seemingly little for the working man. Although we bought a Swap expiring in 2029, and the recent rise in rates by the Bank of England has reduced its liability, Lloyds has now peremptorily decided to ask for repayment in November 2018. Although already accounted for in our figures, this cash will need to be found through the realisation of investments.</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Of share losses, there have been the occasional disappointments, not least PZ Cussons, where currency tribulations and a fall in sales have affected its main market in Nigeria despite improvements elsewhere. We take a somewhat sanguine view that such a large and growing population will occasionally need to wash, and hence are holding for the time being, despite its disappointing performance in comparison to its peers such as Unilever and Procter and Gamble. Even Reckitt Benckiser, with its range of household products, continues to thrive.</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 xml:space="preserve">Amongst other fallers, Pantheon Resources has given back all its gains of earlier years, due to a combination of dry wells and equipment failures, whilst </w:t>
      </w:r>
      <w:proofErr w:type="spellStart"/>
      <w:r w:rsidRPr="00DA25B8">
        <w:rPr>
          <w:rFonts w:ascii="TimesNewRomanPSMT" w:hAnsi="TimesNewRomanPSMT" w:cs="TimesNewRomanPSMT"/>
          <w:color w:val="000000"/>
          <w:sz w:val="20"/>
          <w:szCs w:val="20"/>
        </w:rPr>
        <w:t>Amerisur</w:t>
      </w:r>
      <w:proofErr w:type="spellEnd"/>
      <w:r w:rsidRPr="00DA25B8">
        <w:rPr>
          <w:rFonts w:ascii="TimesNewRomanPSMT" w:hAnsi="TimesNewRomanPSMT" w:cs="TimesNewRomanPSMT"/>
          <w:color w:val="000000"/>
          <w:sz w:val="20"/>
          <w:szCs w:val="20"/>
        </w:rPr>
        <w:t xml:space="preserve"> struggles in Colombia despite the improving price of oil. Central Asian Metals retains its generous dividend yield, but the price has retreated recently as copper falls in the face of the Trump tariffs upon China. </w:t>
      </w:r>
      <w:proofErr w:type="spellStart"/>
      <w:r w:rsidRPr="00DA25B8">
        <w:rPr>
          <w:rFonts w:ascii="TimesNewRomanPSMT" w:hAnsi="TimesNewRomanPSMT" w:cs="TimesNewRomanPSMT"/>
          <w:color w:val="000000"/>
          <w:sz w:val="20"/>
          <w:szCs w:val="20"/>
        </w:rPr>
        <w:t>Bacanora</w:t>
      </w:r>
      <w:proofErr w:type="spellEnd"/>
      <w:r w:rsidRPr="00DA25B8">
        <w:rPr>
          <w:rFonts w:ascii="TimesNewRomanPSMT" w:hAnsi="TimesNewRomanPSMT" w:cs="TimesNewRomanPSMT"/>
          <w:color w:val="000000"/>
          <w:sz w:val="20"/>
          <w:szCs w:val="20"/>
        </w:rPr>
        <w:t xml:space="preserve"> withdrew its proposed funding round for its Sonora lithium project, despite support from its main Japanese shareholder; given traditional Japanese patience and loyalty, we would expect a recovery in due course, unless the appeal of lithium were to prove illusory. We also retain our holding in Critical Elements in Canada, with its Lithium deposit, and continue to believe that we will in due course be rewarded.</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 xml:space="preserve">The Gold market has been described as ‘moribund’ and the inertia induced by the hot summer and strength of the US Dollar will for some time do little to dispel this state of affairs. Despite this disappointment, Hummingbird has succeeded in bringing its mine in Mali into production, and at some point we may yet be rewarded for our patience. </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 xml:space="preserve">Many investors in Canada and the United States, have been seduced by Bitcoin, </w:t>
      </w:r>
      <w:proofErr w:type="spellStart"/>
      <w:r w:rsidRPr="00DA25B8">
        <w:rPr>
          <w:rFonts w:ascii="TimesNewRomanPSMT" w:hAnsi="TimesNewRomanPSMT" w:cs="TimesNewRomanPSMT"/>
          <w:color w:val="000000"/>
          <w:sz w:val="20"/>
          <w:szCs w:val="20"/>
        </w:rPr>
        <w:t>cryto</w:t>
      </w:r>
      <w:proofErr w:type="spellEnd"/>
      <w:r w:rsidRPr="00DA25B8">
        <w:rPr>
          <w:rFonts w:ascii="TimesNewRomanPSMT" w:hAnsi="TimesNewRomanPSMT" w:cs="TimesNewRomanPSMT"/>
          <w:color w:val="000000"/>
          <w:sz w:val="20"/>
          <w:szCs w:val="20"/>
        </w:rPr>
        <w:t xml:space="preserve">-currencies and cannabis stocks. Vanguard is renaming its precious metals fund the Global Capital Cycle Fund after a 24% loss over the past year. We are obstinate or foolish enough to believe that the darkest hour is </w:t>
      </w:r>
      <w:r w:rsidRPr="00DA25B8">
        <w:rPr>
          <w:rFonts w:ascii="TimesNewRomanPSMT" w:hAnsi="TimesNewRomanPSMT" w:cs="TimesNewRomanPSMT"/>
          <w:color w:val="000000"/>
          <w:sz w:val="20"/>
          <w:szCs w:val="20"/>
        </w:rPr>
        <w:lastRenderedPageBreak/>
        <w:t>just before dawn.</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 xml:space="preserve">Amongst sideways movers, James Halstead continues to perform admirably, although its share price less so: </w:t>
      </w:r>
      <w:proofErr w:type="spellStart"/>
      <w:r w:rsidRPr="00DA25B8">
        <w:rPr>
          <w:rFonts w:ascii="TimesNewRomanPSMT" w:hAnsi="TimesNewRomanPSMT" w:cs="TimesNewRomanPSMT"/>
          <w:color w:val="000000"/>
          <w:sz w:val="20"/>
          <w:szCs w:val="20"/>
        </w:rPr>
        <w:t>M.P.Evans</w:t>
      </w:r>
      <w:proofErr w:type="spellEnd"/>
      <w:r w:rsidRPr="00DA25B8">
        <w:rPr>
          <w:rFonts w:ascii="TimesNewRomanPSMT" w:hAnsi="TimesNewRomanPSMT" w:cs="TimesNewRomanPSMT"/>
          <w:color w:val="000000"/>
          <w:sz w:val="20"/>
          <w:szCs w:val="20"/>
        </w:rPr>
        <w:t xml:space="preserve"> has met most of the market’s expectations, with increasing production and dividend flow, whilst KLK bides its time having recently increased its holding in M.P. Evans to 15%. REA Holdings may yet surprise on the upside, even if for now it remains a laggard. Whilst Hurricane Energy has regained some of its composure, we remain hopeful that with the rig ordered and under construction, we will see production in 2019. We are encouraged to hear that Hurricane is now in alliance with Spirit Energy, a subsidiary of Centrica, which will be separately funding exploration of one of its areas. This has sent the share price higher, and underpins the value spotted by Crystal Amber two years ago. We believe, given reasonable production once it commences next year, and a stable oil price, that higher levels should be achievable. Crystal Amber retains the bulk of its stake, and together we rely on the flow of ‘Stranded Oil’. </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 xml:space="preserve">Those with longer memories before the onset of the Mining malaise, will recall our holding in Reservoir Minerals, which was taken over by </w:t>
      </w:r>
      <w:proofErr w:type="spellStart"/>
      <w:r w:rsidRPr="00DA25B8">
        <w:rPr>
          <w:rFonts w:ascii="TimesNewRomanPSMT" w:hAnsi="TimesNewRomanPSMT" w:cs="TimesNewRomanPSMT"/>
          <w:color w:val="000000"/>
          <w:sz w:val="20"/>
          <w:szCs w:val="20"/>
        </w:rPr>
        <w:t>Nevsun</w:t>
      </w:r>
      <w:proofErr w:type="spellEnd"/>
      <w:r w:rsidRPr="00DA25B8">
        <w:rPr>
          <w:rFonts w:ascii="TimesNewRomanPSMT" w:hAnsi="TimesNewRomanPSMT" w:cs="TimesNewRomanPSMT"/>
          <w:color w:val="000000"/>
          <w:sz w:val="20"/>
          <w:szCs w:val="20"/>
        </w:rPr>
        <w:t xml:space="preserve"> Resources a few years ago, the prize being its copper deposit at </w:t>
      </w:r>
      <w:proofErr w:type="spellStart"/>
      <w:r w:rsidRPr="00DA25B8">
        <w:rPr>
          <w:rFonts w:ascii="TimesNewRomanPSMT" w:hAnsi="TimesNewRomanPSMT" w:cs="TimesNewRomanPSMT"/>
          <w:color w:val="000000"/>
          <w:sz w:val="20"/>
          <w:szCs w:val="20"/>
        </w:rPr>
        <w:t>Timok</w:t>
      </w:r>
      <w:proofErr w:type="spellEnd"/>
      <w:r w:rsidRPr="00DA25B8">
        <w:rPr>
          <w:rFonts w:ascii="TimesNewRomanPSMT" w:hAnsi="TimesNewRomanPSMT" w:cs="TimesNewRomanPSMT"/>
          <w:color w:val="000000"/>
          <w:sz w:val="20"/>
          <w:szCs w:val="20"/>
        </w:rPr>
        <w:t xml:space="preserve"> in Serbia, adjoining Freeport </w:t>
      </w:r>
      <w:proofErr w:type="spellStart"/>
      <w:r w:rsidRPr="00DA25B8">
        <w:rPr>
          <w:rFonts w:ascii="TimesNewRomanPSMT" w:hAnsi="TimesNewRomanPSMT" w:cs="TimesNewRomanPSMT"/>
          <w:color w:val="000000"/>
          <w:sz w:val="20"/>
          <w:szCs w:val="20"/>
        </w:rPr>
        <w:t>McMoRan’s</w:t>
      </w:r>
      <w:proofErr w:type="spellEnd"/>
      <w:r w:rsidRPr="00DA25B8">
        <w:rPr>
          <w:rFonts w:ascii="TimesNewRomanPSMT" w:hAnsi="TimesNewRomanPSMT" w:cs="TimesNewRomanPSMT"/>
          <w:color w:val="000000"/>
          <w:sz w:val="20"/>
          <w:szCs w:val="20"/>
        </w:rPr>
        <w:t xml:space="preserve"> existing mine. Lundin bid C$4.75 earlier in the year, an offer that was rejected by </w:t>
      </w:r>
      <w:proofErr w:type="spellStart"/>
      <w:r w:rsidRPr="00DA25B8">
        <w:rPr>
          <w:rFonts w:ascii="TimesNewRomanPSMT" w:hAnsi="TimesNewRomanPSMT" w:cs="TimesNewRomanPSMT"/>
          <w:color w:val="000000"/>
          <w:sz w:val="20"/>
          <w:szCs w:val="20"/>
        </w:rPr>
        <w:t>Nevsun</w:t>
      </w:r>
      <w:proofErr w:type="spellEnd"/>
      <w:r w:rsidRPr="00DA25B8">
        <w:rPr>
          <w:rFonts w:ascii="TimesNewRomanPSMT" w:hAnsi="TimesNewRomanPSMT" w:cs="TimesNewRomanPSMT"/>
          <w:color w:val="000000"/>
          <w:sz w:val="20"/>
          <w:szCs w:val="20"/>
        </w:rPr>
        <w:t xml:space="preserve">. Lundin’s offer has now been topped by </w:t>
      </w:r>
      <w:proofErr w:type="spellStart"/>
      <w:r w:rsidRPr="00DA25B8">
        <w:rPr>
          <w:rFonts w:ascii="TimesNewRomanPSMT" w:hAnsi="TimesNewRomanPSMT" w:cs="TimesNewRomanPSMT"/>
          <w:color w:val="000000"/>
          <w:sz w:val="20"/>
          <w:szCs w:val="20"/>
        </w:rPr>
        <w:t>Zjjin</w:t>
      </w:r>
      <w:proofErr w:type="spellEnd"/>
      <w:r w:rsidRPr="00DA25B8">
        <w:rPr>
          <w:rFonts w:ascii="TimesNewRomanPSMT" w:hAnsi="TimesNewRomanPSMT" w:cs="TimesNewRomanPSMT"/>
          <w:color w:val="000000"/>
          <w:sz w:val="20"/>
          <w:szCs w:val="20"/>
        </w:rPr>
        <w:t xml:space="preserve"> Mining, at $6. We are encouraged to see value emerging on this scale: more visible, it would seem to Asians with the Belt and Road glint in their eyes, than the more cautious West. This illustrates once again the need for patience and vision in Mining, or any natural resource for that matter, where there is sometimes an extended period between the first concept and its realisation. Momentum and FAANG investors will naturally prefer the promise of more dramatic returns such as recently experienced. </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 xml:space="preserve">Amongst our other holdings, pride of place as so often before belongs to Young and Co, who now threaten to breach the £18 mark, scant comfort to Sir Ron Brierley whose holding period until thwarted by his Antipodean Board was apparently ‘forever’. We hesitate to add more praise to Patrick </w:t>
      </w:r>
      <w:proofErr w:type="spellStart"/>
      <w:r w:rsidRPr="00DA25B8">
        <w:rPr>
          <w:rFonts w:ascii="TimesNewRomanPSMT" w:hAnsi="TimesNewRomanPSMT" w:cs="TimesNewRomanPSMT"/>
          <w:color w:val="000000"/>
          <w:sz w:val="20"/>
          <w:szCs w:val="20"/>
        </w:rPr>
        <w:t>Dardis</w:t>
      </w:r>
      <w:proofErr w:type="spellEnd"/>
      <w:r w:rsidRPr="00DA25B8">
        <w:rPr>
          <w:rFonts w:ascii="TimesNewRomanPSMT" w:hAnsi="TimesNewRomanPSMT" w:cs="TimesNewRomanPSMT"/>
          <w:color w:val="000000"/>
          <w:sz w:val="20"/>
          <w:szCs w:val="20"/>
        </w:rPr>
        <w:t xml:space="preserve">, Stephen Goodyear and their team, but can at least add our thanks for such superb stewardship and the enhancement of our NAV and dividend flow. </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Abraham Lincoln is quoted as saying “I am a firm believer in the people. If given the truth they can be depended upon to meet any national crisis. The great point is to bring them the real facts, and beer.” A quotation perhaps even more relevant for our own fraught times.</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 xml:space="preserve">Along with the superlative Young’s, Goodwin has soared after confounding the sceptics and producing excellent results and a significantly improved dividend. </w:t>
      </w:r>
      <w:proofErr w:type="spellStart"/>
      <w:r w:rsidRPr="00DA25B8">
        <w:rPr>
          <w:rFonts w:ascii="TimesNewRomanPSMT" w:hAnsi="TimesNewRomanPSMT" w:cs="TimesNewRomanPSMT"/>
          <w:color w:val="000000"/>
          <w:sz w:val="20"/>
          <w:szCs w:val="20"/>
        </w:rPr>
        <w:t>Victrex</w:t>
      </w:r>
      <w:proofErr w:type="spellEnd"/>
      <w:r w:rsidRPr="00DA25B8">
        <w:rPr>
          <w:rFonts w:ascii="TimesNewRomanPSMT" w:hAnsi="TimesNewRomanPSMT" w:cs="TimesNewRomanPSMT"/>
          <w:color w:val="000000"/>
          <w:sz w:val="20"/>
          <w:szCs w:val="20"/>
        </w:rPr>
        <w:t xml:space="preserve"> continues to thrive, and North Atlantic Smaller Companies under its idiosyncratic leadership, not necessarily to everyone’s taste, flourishes. Hansa Trust has begun to benefit from its new format and the improved results from Ocean Wilsons, and AJ </w:t>
      </w:r>
      <w:proofErr w:type="spellStart"/>
      <w:r w:rsidRPr="00DA25B8">
        <w:rPr>
          <w:rFonts w:ascii="TimesNewRomanPSMT" w:hAnsi="TimesNewRomanPSMT" w:cs="TimesNewRomanPSMT"/>
          <w:color w:val="000000"/>
          <w:sz w:val="20"/>
          <w:szCs w:val="20"/>
        </w:rPr>
        <w:t>Mucklow</w:t>
      </w:r>
      <w:proofErr w:type="spellEnd"/>
      <w:r w:rsidRPr="00DA25B8">
        <w:rPr>
          <w:rFonts w:ascii="TimesNewRomanPSMT" w:hAnsi="TimesNewRomanPSMT" w:cs="TimesNewRomanPSMT"/>
          <w:color w:val="000000"/>
          <w:sz w:val="20"/>
          <w:szCs w:val="20"/>
        </w:rPr>
        <w:t xml:space="preserve"> grows consistently with its Midlands property portfolio. RWS reaps the reward from its patent portfolio and its recent acquisition, whilst </w:t>
      </w:r>
      <w:proofErr w:type="spellStart"/>
      <w:r w:rsidRPr="00DA25B8">
        <w:rPr>
          <w:rFonts w:ascii="TimesNewRomanPSMT" w:hAnsi="TimesNewRomanPSMT" w:cs="TimesNewRomanPSMT"/>
          <w:color w:val="000000"/>
          <w:sz w:val="20"/>
          <w:szCs w:val="20"/>
        </w:rPr>
        <w:t>Chesnara</w:t>
      </w:r>
      <w:proofErr w:type="spellEnd"/>
      <w:r w:rsidRPr="00DA25B8">
        <w:rPr>
          <w:rFonts w:ascii="TimesNewRomanPSMT" w:hAnsi="TimesNewRomanPSMT" w:cs="TimesNewRomanPSMT"/>
          <w:color w:val="000000"/>
          <w:sz w:val="20"/>
          <w:szCs w:val="20"/>
        </w:rPr>
        <w:t xml:space="preserve"> and Phoenix produce copious quantities of cash from zombie Pension portfolios. Amongst the </w:t>
      </w:r>
      <w:proofErr w:type="spellStart"/>
      <w:r w:rsidRPr="00DA25B8">
        <w:rPr>
          <w:rFonts w:ascii="TimesNewRomanPSMT" w:hAnsi="TimesNewRomanPSMT" w:cs="TimesNewRomanPSMT"/>
          <w:color w:val="000000"/>
          <w:sz w:val="20"/>
          <w:szCs w:val="20"/>
        </w:rPr>
        <w:t>Bs</w:t>
      </w:r>
      <w:proofErr w:type="spellEnd"/>
      <w:r w:rsidRPr="00DA25B8">
        <w:rPr>
          <w:rFonts w:ascii="TimesNewRomanPSMT" w:hAnsi="TimesNewRomanPSMT" w:cs="TimesNewRomanPSMT"/>
          <w:color w:val="000000"/>
          <w:sz w:val="20"/>
          <w:szCs w:val="20"/>
        </w:rPr>
        <w:t xml:space="preserve">, Berkshire Hathaway has seen the Wisdom of Age rewarded for its investment in Apple, after a false start with IBM, and Burford Capital continues to defy gravity with its litigation fund seemingly going from strength to strength. Some compensation for failing to hold onto </w:t>
      </w:r>
      <w:proofErr w:type="spellStart"/>
      <w:r w:rsidRPr="00DA25B8">
        <w:rPr>
          <w:rFonts w:ascii="TimesNewRomanPSMT" w:hAnsi="TimesNewRomanPSMT" w:cs="TimesNewRomanPSMT"/>
          <w:color w:val="000000"/>
          <w:sz w:val="20"/>
          <w:szCs w:val="20"/>
        </w:rPr>
        <w:t>FeverTree</w:t>
      </w:r>
      <w:proofErr w:type="spellEnd"/>
      <w:r w:rsidRPr="00DA25B8">
        <w:rPr>
          <w:rFonts w:ascii="TimesNewRomanPSMT" w:hAnsi="TimesNewRomanPSMT" w:cs="TimesNewRomanPSMT"/>
          <w:color w:val="000000"/>
          <w:sz w:val="20"/>
          <w:szCs w:val="20"/>
        </w:rPr>
        <w:t xml:space="preserve"> after 2016’s Brexit vote.</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 xml:space="preserve">Whilst we believe our portfolio offers breadth and strength, we are concerned that the political scene in Britain lacks those characteristics, as recently described by Peter Hargreaves. Two able proponents of the people’s will in the recent Referendum have now departed from the Cabinet; the composer of the epithet ‘the Nasty Party’ for now rules the roost, having handled negotiations with her </w:t>
      </w:r>
      <w:r w:rsidRPr="00DA25B8">
        <w:rPr>
          <w:rFonts w:ascii="TimesNewRomanPSMT" w:hAnsi="TimesNewRomanPSMT" w:cs="TimesNewRomanPSMT"/>
          <w:color w:val="000000"/>
          <w:sz w:val="20"/>
          <w:szCs w:val="20"/>
        </w:rPr>
        <w:lastRenderedPageBreak/>
        <w:t>European colleagues with a finesse that would shame a Rhinoceros. We are supposed to support an agreement that ties us to European suzerainty and jurisdiction without participation. Even contemplating such an offer is abhorrent, and we can only hope that true visionaries and free marketeers will emerge to lead Britain once more to the broad, sunlit uplands. Businesses have already suffered enough, including your own company, from intrusive European regulations, of which PRIIPS, MIFID2 and GDPR, are 3 egregious examples; all stemming from a culture that enhances the role of the State, and its all-knowing power, rather than that of the entrepreneur and single trader. Not to mention KIDs which is supposedly endorsed by the Association of Investment Trust Managers with the caption ‘burn before reading’. So many of our great inventors and business builders, such as Steve Jobs, Bill Gates, Tim Martin and others have failed to finish University courses, and yet in Britain half the country is now expected to complete a degree of some sort. The Dead Hand of Bureaucracy prevails, and the most elementary tasks, such as driving or sitting on a local council, now require one or a sequence of training courses.</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Sadly the former home secretary’s obsession with immigration numbers is hampering the growth of our education exports, and we have been superseded by the US, which has educated more leaders than the United Kingdom for the first time. Our education establishments were at the forefront of teaching in the world, and need to be restored to their pre-eminence with opportunities for work in the United Kingdom for their alumni. This will strengthen the position of the UK in an increasingly competitive world.</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An individual is no longer considered capable of selecting a bond suitable for their own needs, but must buy a Prudential Reserve Bond: once interest rates resume their rise or original levels, these will invariably fall by a substantial margin. Moreover, it now appears that the issuance of BBB grade bonds has risen from 30% to 50% in recent years: not an encouraging scenario if pressure once again is applied to bond yields.</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In China, it is now said that there will be bankruptcies amongst many Chinese companies if the trade war over tariffs is exacerbated whilst the Chinese eased their lending terms to accommodate those struggling in the pre-election Trump tourniquet.</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Britain’s determination to persist with the hyper-expensive HS2 despite various accounting bodies warning of its cost-over-runs likely to exceed 60%, alongside the funds already committed to Hinkley Point, and the commitment to phase out energy produced from coal by 2025, ensures an ingrained cost disadvantage to all our manufacturing sector: the Greens whose economic illiteracy was once mocked are truly running the asylum.</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Our politicians would be well advised to dwell on the dismissal of Malcolm Turnbull as Prime Minister of Australia whose obsession with a ‘green’ energy agenda is now being replaced by a new energy minister keen to utilise Australia’s vast resources of coal. The essential goal being to supply cheap and consistent energy to the people as a whole. Nothing undertaken in Britain in recent years by green zealots will meet that objective.</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 xml:space="preserve">The Home Secretary recently overruled his own Inspector’s recommendation to allow mining at </w:t>
      </w:r>
      <w:proofErr w:type="spellStart"/>
      <w:r w:rsidRPr="00DA25B8">
        <w:rPr>
          <w:rFonts w:ascii="TimesNewRomanPSMT" w:hAnsi="TimesNewRomanPSMT" w:cs="TimesNewRomanPSMT"/>
          <w:color w:val="000000"/>
          <w:sz w:val="20"/>
          <w:szCs w:val="20"/>
        </w:rPr>
        <w:t>Druridge</w:t>
      </w:r>
      <w:proofErr w:type="spellEnd"/>
      <w:r w:rsidRPr="00DA25B8">
        <w:rPr>
          <w:rFonts w:ascii="TimesNewRomanPSMT" w:hAnsi="TimesNewRomanPSMT" w:cs="TimesNewRomanPSMT"/>
          <w:color w:val="000000"/>
          <w:sz w:val="20"/>
          <w:szCs w:val="20"/>
        </w:rPr>
        <w:t xml:space="preserve"> Bay as a ‘not sustainable development’ despite </w:t>
      </w:r>
      <w:proofErr w:type="spellStart"/>
      <w:r w:rsidRPr="00DA25B8">
        <w:rPr>
          <w:rFonts w:ascii="TimesNewRomanPSMT" w:hAnsi="TimesNewRomanPSMT" w:cs="TimesNewRomanPSMT"/>
          <w:color w:val="000000"/>
          <w:sz w:val="20"/>
          <w:szCs w:val="20"/>
        </w:rPr>
        <w:t>it</w:t>
      </w:r>
      <w:proofErr w:type="spellEnd"/>
      <w:r w:rsidRPr="00DA25B8">
        <w:rPr>
          <w:rFonts w:ascii="TimesNewRomanPSMT" w:hAnsi="TimesNewRomanPSMT" w:cs="TimesNewRomanPSMT"/>
          <w:color w:val="000000"/>
          <w:sz w:val="20"/>
          <w:szCs w:val="20"/>
        </w:rPr>
        <w:t xml:space="preserve"> meeting those time constraints and providing hundreds of jobs. </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 xml:space="preserve">As a result of Health and Safety provisions, the Fire Service waited 2 hours to attend the Manchester Arena attack, in case there was a terrorist lurking. Whilst Japan and China increase their building of coal fired power stations, Lloyds Bank has said it will no longer lend to suppliers of coal companies, </w:t>
      </w:r>
      <w:r w:rsidRPr="00DA25B8">
        <w:rPr>
          <w:rFonts w:ascii="TimesNewRomanPSMT" w:hAnsi="TimesNewRomanPSMT" w:cs="TimesNewRomanPSMT"/>
          <w:color w:val="000000"/>
          <w:sz w:val="20"/>
          <w:szCs w:val="20"/>
        </w:rPr>
        <w:lastRenderedPageBreak/>
        <w:t xml:space="preserve">leaving begging the question of where our energy will emerge from during the sunless days of winter or windless days of summer such as recently. </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Cambridge University may well live to regret losing its investment team as the student body calls for disinvestment from carbon fuels. We have increased our exposure and hope all shareholders will benefit in the near term.</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Meanwhile, in the United States, the economy grows, strengthened by the long-overdue tax cuts initiated by President Trump, and Jerome Powell raises interest rates, much to the irritation of the President. His main reward for a booming economy would appear to be impeachment if Russian collusion in ensuring his election is proved. Whatever his achievements in Syria and the World Cup, we suspect such an achievement and bamboozling the US Electorate beyond even Putin’s fabled powers.</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Jeopardising our trade with Russia over a deplorable but unsuccessful assassination plot would appear to us an inadequate approach to a once great country craving respect and a return to its ancient glories. We would encourage genuine diplomacy and a mutual respect for our shared culture and beliefs aligned with clear boundaries.</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 xml:space="preserve">The knife inserted into the entrails of El Oro in November 2016 has been remorselessly turned; Theresa May’s abnegation of the free market is blurring the distinction for the young between Corbyn and </w:t>
      </w:r>
      <w:proofErr w:type="spellStart"/>
      <w:r w:rsidRPr="00DA25B8">
        <w:rPr>
          <w:rFonts w:ascii="TimesNewRomanPSMT" w:hAnsi="TimesNewRomanPSMT" w:cs="TimesNewRomanPSMT"/>
          <w:color w:val="000000"/>
          <w:sz w:val="20"/>
          <w:szCs w:val="20"/>
        </w:rPr>
        <w:t>Macdonnell’s</w:t>
      </w:r>
      <w:proofErr w:type="spellEnd"/>
      <w:r w:rsidRPr="00DA25B8">
        <w:rPr>
          <w:rFonts w:ascii="TimesNewRomanPSMT" w:hAnsi="TimesNewRomanPSMT" w:cs="TimesNewRomanPSMT"/>
          <w:color w:val="000000"/>
          <w:sz w:val="20"/>
          <w:szCs w:val="20"/>
        </w:rPr>
        <w:t xml:space="preserve"> Venezuelan Marxist model for the British economy, and that of a richly productive low tax/ low regulation Capitalist alternative. Concurrent with </w:t>
      </w:r>
      <w:proofErr w:type="gramStart"/>
      <w:r w:rsidRPr="00DA25B8">
        <w:rPr>
          <w:rFonts w:ascii="TimesNewRomanPSMT" w:hAnsi="TimesNewRomanPSMT" w:cs="TimesNewRomanPSMT"/>
          <w:color w:val="000000"/>
          <w:sz w:val="20"/>
          <w:szCs w:val="20"/>
        </w:rPr>
        <w:t>these  potential</w:t>
      </w:r>
      <w:proofErr w:type="gramEnd"/>
      <w:r w:rsidRPr="00DA25B8">
        <w:rPr>
          <w:rFonts w:ascii="TimesNewRomanPSMT" w:hAnsi="TimesNewRomanPSMT" w:cs="TimesNewRomanPSMT"/>
          <w:color w:val="000000"/>
          <w:sz w:val="20"/>
          <w:szCs w:val="20"/>
        </w:rPr>
        <w:t xml:space="preserve"> calamities, a Hard or No-deal Brexit threatens, according to the soothsayers, untold misery and hardship for the British economy and people. </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How lucky we have been at Cheval Place to be supported by the inestimable Abbie, ably assisted by Nick and Nancy, whilst Una performs her wizardry with the accounts. A more loyal and capable crew it would be hard to replicate.</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The Board continues to review the opportunities available to the company in light of the vote taken in November 2016 to liquidate following the 2018 AGM. We hope to make an announcement soon.</w:t>
      </w: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p>
    <w:p w:rsidR="0087558F" w:rsidRPr="00DA25B8" w:rsidRDefault="0087558F" w:rsidP="0087558F">
      <w:pPr>
        <w:widowControl w:val="0"/>
        <w:suppressAutoHyphens/>
        <w:autoSpaceDE w:val="0"/>
        <w:autoSpaceDN w:val="0"/>
        <w:adjustRightInd w:val="0"/>
        <w:spacing w:line="288" w:lineRule="auto"/>
        <w:textAlignment w:val="center"/>
        <w:rPr>
          <w:rFonts w:ascii="TimesNewRomanPSMT" w:hAnsi="TimesNewRomanPSMT" w:cs="TimesNewRomanPSMT"/>
          <w:color w:val="000000"/>
          <w:sz w:val="20"/>
          <w:szCs w:val="20"/>
        </w:rPr>
      </w:pPr>
      <w:r w:rsidRPr="00DA25B8">
        <w:rPr>
          <w:rFonts w:ascii="TimesNewRomanPSMT" w:hAnsi="TimesNewRomanPSMT" w:cs="TimesNewRomanPSMT"/>
          <w:color w:val="000000"/>
          <w:sz w:val="20"/>
          <w:szCs w:val="20"/>
        </w:rPr>
        <w:t>Robin Woodbine Parish</w:t>
      </w:r>
    </w:p>
    <w:p w:rsidR="0087558F" w:rsidRPr="00DA25B8" w:rsidRDefault="0087558F" w:rsidP="0087558F">
      <w:pPr>
        <w:rPr>
          <w:sz w:val="20"/>
          <w:szCs w:val="20"/>
        </w:rPr>
      </w:pPr>
      <w:r w:rsidRPr="00DA25B8">
        <w:rPr>
          <w:rFonts w:ascii="TimesNewRomanPSMT" w:hAnsi="TimesNewRomanPSMT" w:cs="TimesNewRomanPSMT"/>
          <w:color w:val="000000"/>
          <w:sz w:val="20"/>
          <w:szCs w:val="20"/>
        </w:rPr>
        <w:t>2 October 2018</w:t>
      </w:r>
    </w:p>
    <w:p w:rsidR="00607022" w:rsidRPr="00E13D1E" w:rsidRDefault="00607022" w:rsidP="00607022">
      <w:pPr>
        <w:spacing w:after="0" w:line="240" w:lineRule="auto"/>
        <w:rPr>
          <w:rFonts w:ascii="Times New Roman" w:hAnsi="Times New Roman" w:cs="Times New Roman"/>
          <w:bCs/>
          <w:sz w:val="20"/>
          <w:szCs w:val="20"/>
          <w:lang w:eastAsia="en-GB"/>
        </w:rPr>
      </w:pPr>
    </w:p>
    <w:p w:rsidR="00607022" w:rsidRPr="00E13D1E" w:rsidRDefault="00607022" w:rsidP="00607022">
      <w:pPr>
        <w:spacing w:after="0" w:line="240" w:lineRule="auto"/>
        <w:rPr>
          <w:rFonts w:ascii="Times New Roman" w:hAnsi="Times New Roman" w:cs="Times New Roman"/>
          <w:bCs/>
          <w:sz w:val="20"/>
          <w:szCs w:val="20"/>
          <w:lang w:eastAsia="en-GB"/>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607022" w:rsidRPr="00607022" w:rsidRDefault="00607022" w:rsidP="00607022">
      <w:pPr>
        <w:spacing w:after="0" w:line="240" w:lineRule="auto"/>
        <w:rPr>
          <w:rFonts w:ascii="Times New Roman" w:hAnsi="Times New Roman" w:cs="Times New Roman"/>
          <w:color w:val="000000"/>
          <w:w w:val="99"/>
          <w:sz w:val="20"/>
          <w:szCs w:val="20"/>
        </w:rPr>
      </w:pPr>
    </w:p>
    <w:p w:rsidR="00790E64" w:rsidRDefault="00790E64">
      <w:pPr>
        <w:rPr>
          <w:rFonts w:ascii="Times New Roman" w:hAnsi="Times New Roman" w:cs="Times New Roman"/>
          <w:color w:val="000000"/>
          <w:w w:val="99"/>
          <w:sz w:val="20"/>
          <w:szCs w:val="20"/>
        </w:rPr>
      </w:pPr>
      <w:r>
        <w:rPr>
          <w:rFonts w:ascii="Times New Roman" w:hAnsi="Times New Roman" w:cs="Times New Roman"/>
          <w:color w:val="000000"/>
          <w:w w:val="99"/>
          <w:sz w:val="20"/>
          <w:szCs w:val="20"/>
        </w:rPr>
        <w:br w:type="page"/>
      </w:r>
    </w:p>
    <w:p w:rsidR="00607022" w:rsidRPr="00607022" w:rsidRDefault="00607022" w:rsidP="00607022">
      <w:pPr>
        <w:spacing w:after="0" w:line="240" w:lineRule="auto"/>
        <w:rPr>
          <w:rFonts w:ascii="Times New Roman" w:hAnsi="Times New Roman" w:cs="Times New Roman"/>
          <w:color w:val="000000"/>
          <w:w w:val="99"/>
          <w:sz w:val="20"/>
          <w:szCs w:val="20"/>
        </w:rPr>
      </w:pPr>
    </w:p>
    <w:p w:rsidR="00433406" w:rsidRPr="00607022" w:rsidRDefault="00433406" w:rsidP="00607022">
      <w:pPr>
        <w:spacing w:after="0" w:line="240" w:lineRule="auto"/>
        <w:rPr>
          <w:rFonts w:ascii="Times New Roman" w:hAnsi="Times New Roman" w:cs="Times New Roman"/>
          <w:b/>
          <w:bCs/>
          <w:sz w:val="20"/>
          <w:szCs w:val="20"/>
        </w:rPr>
      </w:pPr>
      <w:r w:rsidRPr="00607022">
        <w:rPr>
          <w:rFonts w:ascii="Times New Roman" w:hAnsi="Times New Roman" w:cs="Times New Roman"/>
          <w:b/>
          <w:bCs/>
          <w:sz w:val="20"/>
          <w:szCs w:val="20"/>
        </w:rPr>
        <w:t>CONSOLIDATED STATEMENT</w:t>
      </w:r>
      <w:r w:rsidR="00882370" w:rsidRPr="00607022">
        <w:rPr>
          <w:rFonts w:ascii="Times New Roman" w:hAnsi="Times New Roman" w:cs="Times New Roman"/>
          <w:b/>
          <w:bCs/>
          <w:sz w:val="20"/>
          <w:szCs w:val="20"/>
        </w:rPr>
        <w:t xml:space="preserve"> OF COMPREHENSIVE INCOME</w:t>
      </w:r>
    </w:p>
    <w:p w:rsidR="00433406" w:rsidRPr="00607022" w:rsidRDefault="00DC7B28" w:rsidP="00433406">
      <w:pPr>
        <w:spacing w:line="312" w:lineRule="auto"/>
        <w:rPr>
          <w:rFonts w:ascii="Times New Roman" w:hAnsi="Times New Roman" w:cs="Times New Roman"/>
          <w:spacing w:val="2"/>
          <w:sz w:val="20"/>
          <w:szCs w:val="20"/>
        </w:rPr>
      </w:pPr>
      <w:r w:rsidRPr="00607022">
        <w:rPr>
          <w:rFonts w:ascii="Times New Roman" w:hAnsi="Times New Roman" w:cs="Times New Roman"/>
          <w:spacing w:val="2"/>
          <w:sz w:val="20"/>
          <w:szCs w:val="20"/>
        </w:rPr>
        <w:t>f</w:t>
      </w:r>
      <w:r w:rsidR="00433406" w:rsidRPr="00607022">
        <w:rPr>
          <w:rFonts w:ascii="Times New Roman" w:hAnsi="Times New Roman" w:cs="Times New Roman"/>
          <w:spacing w:val="2"/>
          <w:sz w:val="20"/>
          <w:szCs w:val="20"/>
        </w:rPr>
        <w:t xml:space="preserve">or the year ended </w:t>
      </w:r>
      <w:r w:rsidRPr="00607022">
        <w:rPr>
          <w:rFonts w:ascii="Times New Roman" w:hAnsi="Times New Roman" w:cs="Times New Roman"/>
          <w:spacing w:val="2"/>
          <w:sz w:val="20"/>
          <w:szCs w:val="20"/>
        </w:rPr>
        <w:t>30 June</w:t>
      </w:r>
    </w:p>
    <w:tbl>
      <w:tblPr>
        <w:tblW w:w="9498" w:type="dxa"/>
        <w:tblInd w:w="108" w:type="dxa"/>
        <w:tblLook w:val="04A0" w:firstRow="1" w:lastRow="0" w:firstColumn="1" w:lastColumn="0" w:noHBand="0" w:noVBand="1"/>
      </w:tblPr>
      <w:tblGrid>
        <w:gridCol w:w="5387"/>
        <w:gridCol w:w="1701"/>
        <w:gridCol w:w="707"/>
        <w:gridCol w:w="1703"/>
      </w:tblGrid>
      <w:tr w:rsidR="00433406" w:rsidRPr="00607022" w:rsidTr="00402F95">
        <w:trPr>
          <w:trHeight w:hRule="exact" w:val="227"/>
        </w:trPr>
        <w:tc>
          <w:tcPr>
            <w:tcW w:w="5387" w:type="dxa"/>
            <w:tcBorders>
              <w:top w:val="nil"/>
              <w:left w:val="nil"/>
              <w:bottom w:val="nil"/>
              <w:right w:val="nil"/>
            </w:tcBorders>
            <w:shd w:val="clear" w:color="auto" w:fill="auto"/>
            <w:noWrap/>
            <w:vAlign w:val="bottom"/>
            <w:hideMark/>
          </w:tcPr>
          <w:p w:rsidR="00433406" w:rsidRPr="00607022" w:rsidRDefault="00433406" w:rsidP="00D855A0">
            <w:pPr>
              <w:rPr>
                <w:rFonts w:ascii="Times New Roman" w:hAnsi="Times New Roman" w:cs="Times New Roman"/>
                <w:sz w:val="20"/>
                <w:szCs w:val="20"/>
                <w:highlight w:val="yellow"/>
                <w:lang w:eastAsia="en-GB"/>
              </w:rPr>
            </w:pPr>
          </w:p>
        </w:tc>
        <w:tc>
          <w:tcPr>
            <w:tcW w:w="1701" w:type="dxa"/>
            <w:tcBorders>
              <w:top w:val="nil"/>
              <w:left w:val="nil"/>
              <w:bottom w:val="nil"/>
              <w:right w:val="nil"/>
            </w:tcBorders>
            <w:shd w:val="clear" w:color="auto" w:fill="auto"/>
            <w:noWrap/>
            <w:vAlign w:val="bottom"/>
            <w:hideMark/>
          </w:tcPr>
          <w:p w:rsidR="00433406" w:rsidRPr="00607022" w:rsidRDefault="00433406" w:rsidP="00D855A0">
            <w:pPr>
              <w:jc w:val="right"/>
              <w:rPr>
                <w:rFonts w:ascii="Times New Roman" w:hAnsi="Times New Roman" w:cs="Times New Roman"/>
                <w:b/>
                <w:bCs/>
                <w:sz w:val="20"/>
                <w:szCs w:val="20"/>
                <w:highlight w:val="yellow"/>
                <w:lang w:eastAsia="en-GB"/>
              </w:rPr>
            </w:pPr>
          </w:p>
        </w:tc>
        <w:tc>
          <w:tcPr>
            <w:tcW w:w="707" w:type="dxa"/>
            <w:tcBorders>
              <w:top w:val="nil"/>
              <w:left w:val="nil"/>
              <w:bottom w:val="nil"/>
              <w:right w:val="nil"/>
            </w:tcBorders>
            <w:shd w:val="clear" w:color="auto" w:fill="auto"/>
            <w:noWrap/>
            <w:vAlign w:val="bottom"/>
            <w:hideMark/>
          </w:tcPr>
          <w:p w:rsidR="00433406" w:rsidRPr="00607022" w:rsidRDefault="00433406" w:rsidP="00D855A0">
            <w:pPr>
              <w:jc w:val="right"/>
              <w:rPr>
                <w:rFonts w:ascii="Times New Roman" w:hAnsi="Times New Roman" w:cs="Times New Roman"/>
                <w:sz w:val="20"/>
                <w:szCs w:val="20"/>
                <w:highlight w:val="yellow"/>
                <w:lang w:eastAsia="en-GB"/>
              </w:rPr>
            </w:pPr>
          </w:p>
        </w:tc>
        <w:tc>
          <w:tcPr>
            <w:tcW w:w="1703" w:type="dxa"/>
            <w:tcBorders>
              <w:top w:val="nil"/>
              <w:left w:val="nil"/>
              <w:bottom w:val="nil"/>
              <w:right w:val="nil"/>
            </w:tcBorders>
            <w:shd w:val="clear" w:color="auto" w:fill="auto"/>
            <w:noWrap/>
            <w:vAlign w:val="bottom"/>
            <w:hideMark/>
          </w:tcPr>
          <w:p w:rsidR="00433406" w:rsidRPr="00607022" w:rsidRDefault="00433406" w:rsidP="003E2868">
            <w:pPr>
              <w:jc w:val="right"/>
              <w:rPr>
                <w:rFonts w:ascii="Times New Roman" w:hAnsi="Times New Roman" w:cs="Times New Roman"/>
                <w:sz w:val="20"/>
                <w:szCs w:val="20"/>
                <w:highlight w:val="yellow"/>
                <w:lang w:eastAsia="en-GB"/>
              </w:rPr>
            </w:pPr>
          </w:p>
        </w:tc>
      </w:tr>
      <w:tr w:rsidR="00E13D1E" w:rsidRPr="00607022" w:rsidTr="00402F95">
        <w:trPr>
          <w:trHeight w:val="315"/>
        </w:trPr>
        <w:tc>
          <w:tcPr>
            <w:tcW w:w="5387" w:type="dxa"/>
            <w:tcBorders>
              <w:top w:val="nil"/>
              <w:left w:val="nil"/>
              <w:bottom w:val="nil"/>
              <w:right w:val="nil"/>
            </w:tcBorders>
            <w:shd w:val="clear" w:color="auto" w:fill="auto"/>
            <w:noWrap/>
            <w:vAlign w:val="bottom"/>
            <w:hideMark/>
          </w:tcPr>
          <w:p w:rsidR="00E13D1E" w:rsidRPr="00607022" w:rsidRDefault="00E13D1E" w:rsidP="00E13D1E">
            <w:pPr>
              <w:spacing w:after="0" w:line="240" w:lineRule="auto"/>
              <w:rPr>
                <w:rFonts w:ascii="Times New Roman" w:hAnsi="Times New Roman" w:cs="Times New Roman"/>
                <w:sz w:val="20"/>
                <w:szCs w:val="20"/>
                <w:lang w:eastAsia="en-GB"/>
              </w:rPr>
            </w:pPr>
          </w:p>
        </w:tc>
        <w:tc>
          <w:tcPr>
            <w:tcW w:w="1701" w:type="dxa"/>
            <w:tcBorders>
              <w:top w:val="nil"/>
              <w:left w:val="nil"/>
              <w:bottom w:val="nil"/>
              <w:right w:val="nil"/>
            </w:tcBorders>
            <w:shd w:val="clear" w:color="auto" w:fill="auto"/>
            <w:noWrap/>
            <w:vAlign w:val="bottom"/>
            <w:hideMark/>
          </w:tcPr>
          <w:p w:rsidR="00E13D1E" w:rsidRPr="00607022" w:rsidRDefault="00E13D1E" w:rsidP="00E13D1E">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30 June 201</w:t>
            </w:r>
            <w:r w:rsidR="008F7C64">
              <w:rPr>
                <w:rFonts w:ascii="Times New Roman" w:hAnsi="Times New Roman" w:cs="Times New Roman"/>
                <w:b/>
                <w:bCs/>
                <w:sz w:val="20"/>
                <w:szCs w:val="20"/>
                <w:lang w:eastAsia="en-GB"/>
              </w:rPr>
              <w:t>8</w:t>
            </w:r>
          </w:p>
        </w:tc>
        <w:tc>
          <w:tcPr>
            <w:tcW w:w="707" w:type="dxa"/>
            <w:tcBorders>
              <w:top w:val="nil"/>
              <w:left w:val="nil"/>
              <w:bottom w:val="nil"/>
              <w:right w:val="nil"/>
            </w:tcBorders>
            <w:shd w:val="clear" w:color="auto" w:fill="auto"/>
            <w:noWrap/>
            <w:vAlign w:val="bottom"/>
            <w:hideMark/>
          </w:tcPr>
          <w:p w:rsidR="00E13D1E" w:rsidRPr="00607022" w:rsidRDefault="00E13D1E" w:rsidP="00E13D1E">
            <w:pPr>
              <w:spacing w:after="0" w:line="240" w:lineRule="auto"/>
              <w:rPr>
                <w:rFonts w:ascii="Times New Roman" w:hAnsi="Times New Roman" w:cs="Times New Roman"/>
                <w:sz w:val="20"/>
                <w:szCs w:val="20"/>
                <w:lang w:eastAsia="en-GB"/>
              </w:rPr>
            </w:pPr>
          </w:p>
        </w:tc>
        <w:tc>
          <w:tcPr>
            <w:tcW w:w="1703" w:type="dxa"/>
            <w:tcBorders>
              <w:top w:val="nil"/>
              <w:left w:val="nil"/>
              <w:bottom w:val="nil"/>
              <w:right w:val="nil"/>
            </w:tcBorders>
            <w:shd w:val="clear" w:color="auto" w:fill="auto"/>
            <w:noWrap/>
            <w:vAlign w:val="bottom"/>
            <w:hideMark/>
          </w:tcPr>
          <w:p w:rsidR="00E13D1E" w:rsidRPr="00E13D1E" w:rsidRDefault="008F7C64" w:rsidP="00E13D1E">
            <w:pPr>
              <w:spacing w:after="0" w:line="240" w:lineRule="auto"/>
              <w:jc w:val="right"/>
              <w:rPr>
                <w:rFonts w:ascii="Times New Roman" w:hAnsi="Times New Roman" w:cs="Times New Roman"/>
                <w:bCs/>
                <w:sz w:val="20"/>
                <w:szCs w:val="20"/>
                <w:lang w:eastAsia="en-GB"/>
              </w:rPr>
            </w:pPr>
            <w:r>
              <w:rPr>
                <w:rFonts w:ascii="Times New Roman" w:hAnsi="Times New Roman" w:cs="Times New Roman"/>
                <w:bCs/>
                <w:sz w:val="20"/>
                <w:szCs w:val="20"/>
                <w:lang w:eastAsia="en-GB"/>
              </w:rPr>
              <w:t>30 June 2017</w:t>
            </w:r>
          </w:p>
        </w:tc>
      </w:tr>
      <w:tr w:rsidR="00E13D1E" w:rsidRPr="00607022" w:rsidTr="00402F95">
        <w:trPr>
          <w:trHeight w:val="315"/>
        </w:trPr>
        <w:tc>
          <w:tcPr>
            <w:tcW w:w="5387" w:type="dxa"/>
            <w:tcBorders>
              <w:top w:val="nil"/>
              <w:left w:val="nil"/>
              <w:bottom w:val="nil"/>
              <w:right w:val="nil"/>
            </w:tcBorders>
            <w:shd w:val="clear" w:color="auto" w:fill="auto"/>
            <w:noWrap/>
            <w:vAlign w:val="bottom"/>
            <w:hideMark/>
          </w:tcPr>
          <w:p w:rsidR="00E13D1E" w:rsidRPr="00607022" w:rsidRDefault="00E13D1E" w:rsidP="00E13D1E">
            <w:pPr>
              <w:spacing w:after="0" w:line="240" w:lineRule="auto"/>
              <w:rPr>
                <w:rFonts w:ascii="Times New Roman" w:hAnsi="Times New Roman" w:cs="Times New Roman"/>
                <w:sz w:val="20"/>
                <w:szCs w:val="20"/>
                <w:lang w:eastAsia="en-GB"/>
              </w:rPr>
            </w:pPr>
          </w:p>
        </w:tc>
        <w:tc>
          <w:tcPr>
            <w:tcW w:w="1701" w:type="dxa"/>
            <w:tcBorders>
              <w:top w:val="nil"/>
              <w:left w:val="nil"/>
              <w:bottom w:val="nil"/>
              <w:right w:val="nil"/>
            </w:tcBorders>
            <w:shd w:val="clear" w:color="auto" w:fill="auto"/>
            <w:noWrap/>
            <w:vAlign w:val="bottom"/>
            <w:hideMark/>
          </w:tcPr>
          <w:p w:rsidR="00E13D1E" w:rsidRPr="00607022" w:rsidRDefault="00E13D1E" w:rsidP="00E13D1E">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 xml:space="preserve">£    </w:t>
            </w:r>
          </w:p>
        </w:tc>
        <w:tc>
          <w:tcPr>
            <w:tcW w:w="707" w:type="dxa"/>
            <w:tcBorders>
              <w:top w:val="nil"/>
              <w:left w:val="nil"/>
              <w:bottom w:val="nil"/>
              <w:right w:val="nil"/>
            </w:tcBorders>
            <w:shd w:val="clear" w:color="auto" w:fill="auto"/>
            <w:noWrap/>
            <w:vAlign w:val="bottom"/>
            <w:hideMark/>
          </w:tcPr>
          <w:p w:rsidR="00E13D1E" w:rsidRPr="00607022" w:rsidRDefault="00E13D1E" w:rsidP="00E13D1E">
            <w:pPr>
              <w:spacing w:after="0" w:line="240" w:lineRule="auto"/>
              <w:jc w:val="right"/>
              <w:rPr>
                <w:rFonts w:ascii="Times New Roman" w:hAnsi="Times New Roman" w:cs="Times New Roman"/>
                <w:sz w:val="20"/>
                <w:szCs w:val="20"/>
                <w:lang w:eastAsia="en-GB"/>
              </w:rPr>
            </w:pPr>
          </w:p>
        </w:tc>
        <w:tc>
          <w:tcPr>
            <w:tcW w:w="1703" w:type="dxa"/>
            <w:tcBorders>
              <w:top w:val="nil"/>
              <w:left w:val="nil"/>
              <w:bottom w:val="nil"/>
              <w:right w:val="nil"/>
            </w:tcBorders>
            <w:shd w:val="clear" w:color="auto" w:fill="auto"/>
            <w:noWrap/>
            <w:vAlign w:val="bottom"/>
            <w:hideMark/>
          </w:tcPr>
          <w:p w:rsidR="00E13D1E" w:rsidRPr="00E13D1E" w:rsidRDefault="00E13D1E" w:rsidP="00E13D1E">
            <w:pPr>
              <w:spacing w:after="0" w:line="240" w:lineRule="auto"/>
              <w:jc w:val="right"/>
              <w:rPr>
                <w:rFonts w:ascii="Times New Roman" w:hAnsi="Times New Roman" w:cs="Times New Roman"/>
                <w:bCs/>
                <w:sz w:val="20"/>
                <w:szCs w:val="20"/>
                <w:lang w:eastAsia="en-GB"/>
              </w:rPr>
            </w:pPr>
            <w:r w:rsidRPr="00E13D1E">
              <w:rPr>
                <w:rFonts w:ascii="Times New Roman" w:hAnsi="Times New Roman" w:cs="Times New Roman"/>
                <w:bCs/>
                <w:sz w:val="20"/>
                <w:szCs w:val="20"/>
                <w:lang w:eastAsia="en-GB"/>
              </w:rPr>
              <w:t xml:space="preserve">£    </w:t>
            </w:r>
          </w:p>
        </w:tc>
      </w:tr>
      <w:tr w:rsidR="008F7C64" w:rsidRPr="006B474A" w:rsidTr="00402F95">
        <w:trPr>
          <w:cantSplit/>
          <w:trHeight w:hRule="exact" w:val="397"/>
        </w:trPr>
        <w:tc>
          <w:tcPr>
            <w:tcW w:w="538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Revenue</w:t>
            </w:r>
          </w:p>
        </w:tc>
        <w:tc>
          <w:tcPr>
            <w:tcW w:w="1701" w:type="dxa"/>
            <w:tcBorders>
              <w:top w:val="nil"/>
              <w:left w:val="nil"/>
              <w:right w:val="nil"/>
            </w:tcBorders>
            <w:shd w:val="clear" w:color="auto" w:fill="auto"/>
            <w:noWrap/>
            <w:vAlign w:val="center"/>
          </w:tcPr>
          <w:p w:rsidR="008F7C64" w:rsidRPr="00607022" w:rsidRDefault="008F7C64" w:rsidP="00410955">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w:t>
            </w:r>
            <w:r w:rsidR="00410955">
              <w:rPr>
                <w:rFonts w:ascii="Times New Roman" w:hAnsi="Times New Roman" w:cs="Times New Roman"/>
                <w:b/>
                <w:bCs/>
                <w:sz w:val="20"/>
                <w:szCs w:val="20"/>
                <w:lang w:eastAsia="en-GB"/>
              </w:rPr>
              <w:t>356,339</w:t>
            </w:r>
          </w:p>
        </w:tc>
        <w:tc>
          <w:tcPr>
            <w:tcW w:w="70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1703" w:type="dxa"/>
            <w:tcBorders>
              <w:top w:val="nil"/>
              <w:left w:val="nil"/>
              <w:right w:val="nil"/>
            </w:tcBorders>
            <w:shd w:val="clear" w:color="auto" w:fill="auto"/>
            <w:noWrap/>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1,483,710</w:t>
            </w:r>
          </w:p>
        </w:tc>
      </w:tr>
      <w:tr w:rsidR="008F7C64" w:rsidRPr="006B474A" w:rsidTr="00402F95">
        <w:trPr>
          <w:cantSplit/>
          <w:trHeight w:hRule="exact" w:val="340"/>
        </w:trPr>
        <w:tc>
          <w:tcPr>
            <w:tcW w:w="5387" w:type="dxa"/>
            <w:tcBorders>
              <w:top w:val="nil"/>
              <w:left w:val="nil"/>
              <w:bottom w:val="nil"/>
              <w:right w:val="nil"/>
            </w:tcBorders>
            <w:shd w:val="clear" w:color="auto" w:fill="auto"/>
            <w:noWrap/>
            <w:vAlign w:val="center"/>
            <w:hideMark/>
          </w:tcPr>
          <w:p w:rsidR="008F7C64" w:rsidRPr="00607022" w:rsidRDefault="008F7C64" w:rsidP="00410955">
            <w:pPr>
              <w:spacing w:after="0" w:line="240" w:lineRule="auto"/>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 xml:space="preserve">Net </w:t>
            </w:r>
            <w:r w:rsidR="00410955" w:rsidRPr="00607022">
              <w:rPr>
                <w:rFonts w:ascii="Times New Roman" w:hAnsi="Times New Roman" w:cs="Times New Roman"/>
                <w:bCs/>
                <w:sz w:val="20"/>
                <w:szCs w:val="20"/>
                <w:lang w:eastAsia="en-GB"/>
              </w:rPr>
              <w:t xml:space="preserve">(losses) </w:t>
            </w:r>
            <w:r w:rsidR="00410955">
              <w:rPr>
                <w:rFonts w:ascii="Times New Roman" w:hAnsi="Times New Roman" w:cs="Times New Roman"/>
                <w:bCs/>
                <w:sz w:val="20"/>
                <w:szCs w:val="20"/>
                <w:lang w:eastAsia="en-GB"/>
              </w:rPr>
              <w:t xml:space="preserve">/ gains </w:t>
            </w:r>
            <w:r w:rsidRPr="00607022">
              <w:rPr>
                <w:rFonts w:ascii="Times New Roman" w:hAnsi="Times New Roman" w:cs="Times New Roman"/>
                <w:bCs/>
                <w:sz w:val="20"/>
                <w:szCs w:val="20"/>
                <w:lang w:eastAsia="en-GB"/>
              </w:rPr>
              <w:t>on investments</w:t>
            </w:r>
          </w:p>
        </w:tc>
        <w:tc>
          <w:tcPr>
            <w:tcW w:w="1701" w:type="dxa"/>
            <w:tcBorders>
              <w:top w:val="nil"/>
              <w:left w:val="nil"/>
              <w:bottom w:val="single" w:sz="4" w:space="0" w:color="auto"/>
              <w:right w:val="nil"/>
            </w:tcBorders>
            <w:shd w:val="clear" w:color="auto" w:fill="auto"/>
            <w:noWrap/>
            <w:vAlign w:val="center"/>
          </w:tcPr>
          <w:p w:rsidR="008F7C64" w:rsidRPr="00607022" w:rsidRDefault="00410955"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(671,812)</w:t>
            </w:r>
          </w:p>
        </w:tc>
        <w:tc>
          <w:tcPr>
            <w:tcW w:w="707" w:type="dxa"/>
            <w:tcBorders>
              <w:top w:val="nil"/>
              <w:left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1703" w:type="dxa"/>
            <w:tcBorders>
              <w:top w:val="nil"/>
              <w:left w:val="nil"/>
              <w:bottom w:val="single" w:sz="4" w:space="0" w:color="auto"/>
              <w:right w:val="nil"/>
            </w:tcBorders>
            <w:shd w:val="clear" w:color="auto" w:fill="auto"/>
            <w:noWrap/>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7,946,532</w:t>
            </w:r>
          </w:p>
        </w:tc>
      </w:tr>
      <w:tr w:rsidR="008F7C64" w:rsidRPr="006B474A" w:rsidTr="00402F95">
        <w:trPr>
          <w:cantSplit/>
          <w:trHeight w:hRule="exact" w:val="454"/>
        </w:trPr>
        <w:tc>
          <w:tcPr>
            <w:tcW w:w="538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 xml:space="preserve">Total </w:t>
            </w:r>
            <w:r>
              <w:rPr>
                <w:rFonts w:ascii="Times New Roman" w:hAnsi="Times New Roman" w:cs="Times New Roman"/>
                <w:b/>
                <w:bCs/>
                <w:sz w:val="20"/>
                <w:szCs w:val="20"/>
                <w:lang w:eastAsia="en-GB"/>
              </w:rPr>
              <w:t xml:space="preserve">investment </w:t>
            </w:r>
            <w:r w:rsidR="00410955">
              <w:rPr>
                <w:rFonts w:ascii="Times New Roman" w:hAnsi="Times New Roman" w:cs="Times New Roman"/>
                <w:b/>
                <w:bCs/>
                <w:sz w:val="20"/>
                <w:szCs w:val="20"/>
                <w:lang w:eastAsia="en-GB"/>
              </w:rPr>
              <w:t>income</w:t>
            </w:r>
          </w:p>
        </w:tc>
        <w:tc>
          <w:tcPr>
            <w:tcW w:w="1701" w:type="dxa"/>
            <w:tcBorders>
              <w:top w:val="single" w:sz="4" w:space="0" w:color="auto"/>
              <w:left w:val="nil"/>
              <w:right w:val="nil"/>
            </w:tcBorders>
            <w:shd w:val="clear" w:color="auto" w:fill="auto"/>
            <w:noWrap/>
            <w:vAlign w:val="center"/>
          </w:tcPr>
          <w:p w:rsidR="008F7C64" w:rsidRPr="00607022" w:rsidRDefault="00410955"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684,527</w:t>
            </w:r>
          </w:p>
        </w:tc>
        <w:tc>
          <w:tcPr>
            <w:tcW w:w="707" w:type="dxa"/>
            <w:tcBorders>
              <w:left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1703" w:type="dxa"/>
            <w:tcBorders>
              <w:top w:val="single" w:sz="4" w:space="0" w:color="auto"/>
              <w:left w:val="nil"/>
              <w:right w:val="nil"/>
            </w:tcBorders>
            <w:shd w:val="clear" w:color="auto" w:fill="auto"/>
            <w:noWrap/>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9,430,242</w:t>
            </w:r>
          </w:p>
        </w:tc>
      </w:tr>
      <w:tr w:rsidR="008F7C64" w:rsidRPr="006B474A" w:rsidTr="00402F95">
        <w:trPr>
          <w:cantSplit/>
          <w:trHeight w:hRule="exact" w:val="397"/>
        </w:trPr>
        <w:tc>
          <w:tcPr>
            <w:tcW w:w="538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Expenses</w:t>
            </w:r>
          </w:p>
        </w:tc>
        <w:tc>
          <w:tcPr>
            <w:tcW w:w="1701" w:type="dxa"/>
            <w:tcBorders>
              <w:left w:val="nil"/>
              <w:bottom w:val="single" w:sz="4" w:space="0" w:color="auto"/>
              <w:right w:val="nil"/>
            </w:tcBorders>
            <w:shd w:val="clear" w:color="auto" w:fill="auto"/>
            <w:noWrap/>
            <w:vAlign w:val="center"/>
          </w:tcPr>
          <w:p w:rsidR="008F7C64" w:rsidRPr="00607022" w:rsidRDefault="008F7C64" w:rsidP="00410955">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(1,</w:t>
            </w:r>
            <w:r w:rsidR="00410955">
              <w:rPr>
                <w:rFonts w:ascii="Times New Roman" w:hAnsi="Times New Roman" w:cs="Times New Roman"/>
                <w:b/>
                <w:bCs/>
                <w:sz w:val="20"/>
                <w:szCs w:val="20"/>
                <w:lang w:eastAsia="en-GB"/>
              </w:rPr>
              <w:t>841,092</w:t>
            </w:r>
            <w:r w:rsidRPr="00607022">
              <w:rPr>
                <w:rFonts w:ascii="Times New Roman" w:hAnsi="Times New Roman" w:cs="Times New Roman"/>
                <w:b/>
                <w:bCs/>
                <w:sz w:val="20"/>
                <w:szCs w:val="20"/>
                <w:lang w:eastAsia="en-GB"/>
              </w:rPr>
              <w:t>)</w:t>
            </w:r>
          </w:p>
        </w:tc>
        <w:tc>
          <w:tcPr>
            <w:tcW w:w="707" w:type="dxa"/>
            <w:tcBorders>
              <w:left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1703" w:type="dxa"/>
            <w:tcBorders>
              <w:left w:val="nil"/>
              <w:bottom w:val="single" w:sz="4" w:space="0" w:color="auto"/>
              <w:right w:val="nil"/>
            </w:tcBorders>
            <w:shd w:val="clear" w:color="auto" w:fill="auto"/>
            <w:noWrap/>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(1,263,440)</w:t>
            </w:r>
          </w:p>
        </w:tc>
      </w:tr>
      <w:tr w:rsidR="008F7C64" w:rsidRPr="006B474A" w:rsidTr="00402F95">
        <w:trPr>
          <w:cantSplit/>
          <w:trHeight w:hRule="exact" w:val="614"/>
        </w:trPr>
        <w:tc>
          <w:tcPr>
            <w:tcW w:w="5387" w:type="dxa"/>
            <w:tcBorders>
              <w:top w:val="nil"/>
              <w:left w:val="nil"/>
              <w:bottom w:val="nil"/>
              <w:right w:val="nil"/>
            </w:tcBorders>
            <w:shd w:val="clear" w:color="auto" w:fill="auto"/>
            <w:noWrap/>
            <w:vAlign w:val="center"/>
            <w:hideMark/>
          </w:tcPr>
          <w:p w:rsidR="008F7C64" w:rsidRPr="00607022" w:rsidRDefault="00410955" w:rsidP="00410955">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(Loss) / p</w:t>
            </w:r>
            <w:r w:rsidR="008F7C64">
              <w:rPr>
                <w:rFonts w:ascii="Times New Roman" w:hAnsi="Times New Roman" w:cs="Times New Roman"/>
                <w:b/>
                <w:bCs/>
                <w:sz w:val="20"/>
                <w:szCs w:val="20"/>
                <w:lang w:eastAsia="en-GB"/>
              </w:rPr>
              <w:t>rofit</w:t>
            </w:r>
            <w:r w:rsidR="008F7C64" w:rsidRPr="00607022">
              <w:rPr>
                <w:rFonts w:ascii="Times New Roman" w:hAnsi="Times New Roman" w:cs="Times New Roman"/>
                <w:b/>
                <w:bCs/>
                <w:sz w:val="20"/>
                <w:szCs w:val="20"/>
                <w:lang w:eastAsia="en-GB"/>
              </w:rPr>
              <w:t xml:space="preserve"> before finance costs and taxation</w:t>
            </w:r>
          </w:p>
        </w:tc>
        <w:tc>
          <w:tcPr>
            <w:tcW w:w="1701" w:type="dxa"/>
            <w:tcBorders>
              <w:top w:val="single" w:sz="4" w:space="0" w:color="auto"/>
              <w:left w:val="nil"/>
              <w:bottom w:val="nil"/>
              <w:right w:val="nil"/>
            </w:tcBorders>
            <w:shd w:val="clear" w:color="auto" w:fill="auto"/>
            <w:noWrap/>
            <w:vAlign w:val="center"/>
          </w:tcPr>
          <w:p w:rsidR="008F7C64" w:rsidRPr="00607022" w:rsidRDefault="00410955"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(1,156,565)</w:t>
            </w:r>
          </w:p>
        </w:tc>
        <w:tc>
          <w:tcPr>
            <w:tcW w:w="70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b/>
                <w:bCs/>
                <w:sz w:val="20"/>
                <w:szCs w:val="20"/>
                <w:highlight w:val="yellow"/>
                <w:lang w:eastAsia="en-GB"/>
              </w:rPr>
            </w:pPr>
          </w:p>
        </w:tc>
        <w:tc>
          <w:tcPr>
            <w:tcW w:w="1703" w:type="dxa"/>
            <w:tcBorders>
              <w:top w:val="single" w:sz="4" w:space="0" w:color="auto"/>
              <w:left w:val="nil"/>
              <w:bottom w:val="nil"/>
              <w:right w:val="nil"/>
            </w:tcBorders>
            <w:shd w:val="clear" w:color="auto" w:fill="auto"/>
            <w:noWrap/>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8,166,802</w:t>
            </w:r>
          </w:p>
        </w:tc>
      </w:tr>
      <w:tr w:rsidR="008F7C64" w:rsidRPr="006B474A" w:rsidTr="00402F95">
        <w:trPr>
          <w:cantSplit/>
          <w:trHeight w:hRule="exact" w:val="397"/>
        </w:trPr>
        <w:tc>
          <w:tcPr>
            <w:tcW w:w="538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r w:rsidRPr="00607022">
              <w:rPr>
                <w:rFonts w:ascii="Times New Roman" w:hAnsi="Times New Roman" w:cs="Times New Roman"/>
                <w:b/>
                <w:bCs/>
                <w:sz w:val="20"/>
                <w:szCs w:val="20"/>
                <w:lang w:eastAsia="en-GB"/>
              </w:rPr>
              <w:t>Finance costs</w:t>
            </w:r>
          </w:p>
        </w:tc>
        <w:tc>
          <w:tcPr>
            <w:tcW w:w="1701" w:type="dxa"/>
            <w:tcBorders>
              <w:top w:val="nil"/>
              <w:left w:val="nil"/>
              <w:bottom w:val="single" w:sz="4" w:space="0" w:color="auto"/>
              <w:right w:val="nil"/>
            </w:tcBorders>
            <w:shd w:val="clear" w:color="auto" w:fill="auto"/>
            <w:noWrap/>
            <w:vAlign w:val="center"/>
          </w:tcPr>
          <w:p w:rsidR="008F7C64" w:rsidRPr="00607022" w:rsidRDefault="008F7C64" w:rsidP="00410955">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sidR="00410955">
              <w:rPr>
                <w:rFonts w:ascii="Times New Roman" w:hAnsi="Times New Roman" w:cs="Times New Roman"/>
                <w:b/>
                <w:bCs/>
                <w:sz w:val="20"/>
                <w:szCs w:val="20"/>
                <w:lang w:eastAsia="en-GB"/>
              </w:rPr>
              <w:t>462,289</w:t>
            </w:r>
            <w:r w:rsidRPr="00607022">
              <w:rPr>
                <w:rFonts w:ascii="Times New Roman" w:hAnsi="Times New Roman" w:cs="Times New Roman"/>
                <w:b/>
                <w:bCs/>
                <w:sz w:val="20"/>
                <w:szCs w:val="20"/>
                <w:lang w:eastAsia="en-GB"/>
              </w:rPr>
              <w:t>)</w:t>
            </w:r>
          </w:p>
        </w:tc>
        <w:tc>
          <w:tcPr>
            <w:tcW w:w="70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1703" w:type="dxa"/>
            <w:tcBorders>
              <w:top w:val="nil"/>
              <w:left w:val="nil"/>
              <w:bottom w:val="single" w:sz="4" w:space="0" w:color="auto"/>
              <w:right w:val="nil"/>
            </w:tcBorders>
            <w:shd w:val="clear" w:color="auto" w:fill="auto"/>
            <w:noWrap/>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(740,115)</w:t>
            </w:r>
          </w:p>
        </w:tc>
      </w:tr>
      <w:tr w:rsidR="008F7C64" w:rsidRPr="006B474A" w:rsidTr="00402F95">
        <w:trPr>
          <w:cantSplit/>
          <w:trHeight w:hRule="exact" w:val="397"/>
        </w:trPr>
        <w:tc>
          <w:tcPr>
            <w:tcW w:w="5387" w:type="dxa"/>
            <w:tcBorders>
              <w:top w:val="nil"/>
              <w:left w:val="nil"/>
              <w:bottom w:val="nil"/>
              <w:right w:val="nil"/>
            </w:tcBorders>
            <w:shd w:val="clear" w:color="auto" w:fill="auto"/>
            <w:noWrap/>
            <w:vAlign w:val="center"/>
            <w:hideMark/>
          </w:tcPr>
          <w:p w:rsidR="008F7C64" w:rsidRPr="00607022" w:rsidRDefault="00410955" w:rsidP="008F7C64">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w:t>
            </w:r>
            <w:r w:rsidR="008F7C64" w:rsidRPr="00607022">
              <w:rPr>
                <w:rFonts w:ascii="Times New Roman" w:hAnsi="Times New Roman" w:cs="Times New Roman"/>
                <w:b/>
                <w:bCs/>
                <w:sz w:val="20"/>
                <w:szCs w:val="20"/>
                <w:lang w:eastAsia="en-GB"/>
              </w:rPr>
              <w:t>Loss</w:t>
            </w:r>
            <w:r>
              <w:rPr>
                <w:rFonts w:ascii="Times New Roman" w:hAnsi="Times New Roman" w:cs="Times New Roman"/>
                <w:b/>
                <w:bCs/>
                <w:sz w:val="20"/>
                <w:szCs w:val="20"/>
                <w:lang w:eastAsia="en-GB"/>
              </w:rPr>
              <w:t>) / profit</w:t>
            </w:r>
            <w:r w:rsidR="008F7C64" w:rsidRPr="00607022">
              <w:rPr>
                <w:rFonts w:ascii="Times New Roman" w:hAnsi="Times New Roman" w:cs="Times New Roman"/>
                <w:b/>
                <w:bCs/>
                <w:sz w:val="20"/>
                <w:szCs w:val="20"/>
                <w:lang w:eastAsia="en-GB"/>
              </w:rPr>
              <w:t xml:space="preserve"> before taxation</w:t>
            </w:r>
          </w:p>
        </w:tc>
        <w:tc>
          <w:tcPr>
            <w:tcW w:w="1701" w:type="dxa"/>
            <w:tcBorders>
              <w:top w:val="single" w:sz="4" w:space="0" w:color="auto"/>
              <w:left w:val="nil"/>
              <w:bottom w:val="nil"/>
              <w:right w:val="nil"/>
            </w:tcBorders>
            <w:shd w:val="clear" w:color="auto" w:fill="auto"/>
            <w:noWrap/>
            <w:vAlign w:val="center"/>
          </w:tcPr>
          <w:p w:rsidR="008F7C64" w:rsidRPr="00607022" w:rsidRDefault="00410955"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(1,618,854)</w:t>
            </w:r>
          </w:p>
        </w:tc>
        <w:tc>
          <w:tcPr>
            <w:tcW w:w="70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1703" w:type="dxa"/>
            <w:tcBorders>
              <w:top w:val="single" w:sz="4" w:space="0" w:color="auto"/>
              <w:left w:val="nil"/>
              <w:bottom w:val="nil"/>
              <w:right w:val="nil"/>
            </w:tcBorders>
            <w:shd w:val="clear" w:color="auto" w:fill="auto"/>
            <w:noWrap/>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7,426,687</w:t>
            </w:r>
          </w:p>
        </w:tc>
      </w:tr>
      <w:tr w:rsidR="008F7C64" w:rsidRPr="006B474A" w:rsidTr="00402F95">
        <w:trPr>
          <w:cantSplit/>
          <w:trHeight w:hRule="exact" w:val="397"/>
        </w:trPr>
        <w:tc>
          <w:tcPr>
            <w:tcW w:w="538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Taxation</w:t>
            </w:r>
            <w:r w:rsidR="00402F95">
              <w:rPr>
                <w:rFonts w:ascii="Times New Roman" w:hAnsi="Times New Roman" w:cs="Times New Roman"/>
                <w:bCs/>
                <w:sz w:val="20"/>
                <w:szCs w:val="20"/>
                <w:lang w:eastAsia="en-GB"/>
              </w:rPr>
              <w:t xml:space="preserve"> credit / (charge)</w:t>
            </w:r>
          </w:p>
        </w:tc>
        <w:tc>
          <w:tcPr>
            <w:tcW w:w="1701" w:type="dxa"/>
            <w:tcBorders>
              <w:top w:val="nil"/>
              <w:left w:val="nil"/>
              <w:bottom w:val="nil"/>
              <w:right w:val="nil"/>
            </w:tcBorders>
            <w:shd w:val="clear" w:color="auto" w:fill="auto"/>
            <w:noWrap/>
            <w:vAlign w:val="center"/>
          </w:tcPr>
          <w:p w:rsidR="008F7C64" w:rsidRPr="00607022" w:rsidRDefault="00410955"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19,251</w:t>
            </w:r>
          </w:p>
        </w:tc>
        <w:tc>
          <w:tcPr>
            <w:tcW w:w="70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1703" w:type="dxa"/>
            <w:tcBorders>
              <w:top w:val="nil"/>
              <w:left w:val="nil"/>
              <w:bottom w:val="nil"/>
              <w:right w:val="nil"/>
            </w:tcBorders>
            <w:shd w:val="clear" w:color="auto" w:fill="auto"/>
            <w:noWrap/>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(634,608)</w:t>
            </w:r>
          </w:p>
        </w:tc>
      </w:tr>
      <w:tr w:rsidR="008F7C64" w:rsidRPr="006B474A" w:rsidTr="00402F95">
        <w:trPr>
          <w:cantSplit/>
          <w:trHeight w:hRule="exact" w:val="537"/>
        </w:trPr>
        <w:tc>
          <w:tcPr>
            <w:tcW w:w="5387" w:type="dxa"/>
            <w:tcBorders>
              <w:top w:val="nil"/>
              <w:left w:val="nil"/>
              <w:bottom w:val="nil"/>
              <w:right w:val="nil"/>
            </w:tcBorders>
            <w:shd w:val="clear" w:color="auto" w:fill="auto"/>
            <w:noWrap/>
            <w:vAlign w:val="center"/>
            <w:hideMark/>
          </w:tcPr>
          <w:p w:rsidR="008F7C64" w:rsidRPr="00607022" w:rsidRDefault="00410955" w:rsidP="00410955">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(Loss) / p</w:t>
            </w:r>
            <w:r w:rsidR="008F7C64">
              <w:rPr>
                <w:rFonts w:ascii="Times New Roman" w:hAnsi="Times New Roman" w:cs="Times New Roman"/>
                <w:b/>
                <w:bCs/>
                <w:sz w:val="20"/>
                <w:szCs w:val="20"/>
                <w:lang w:eastAsia="en-GB"/>
              </w:rPr>
              <w:t>rofit</w:t>
            </w:r>
            <w:r w:rsidR="008F7C64" w:rsidRPr="00607022">
              <w:rPr>
                <w:rFonts w:ascii="Times New Roman" w:hAnsi="Times New Roman" w:cs="Times New Roman"/>
                <w:b/>
                <w:bCs/>
                <w:sz w:val="20"/>
                <w:szCs w:val="20"/>
                <w:lang w:eastAsia="en-GB"/>
              </w:rPr>
              <w:t xml:space="preserve"> for the </w:t>
            </w:r>
            <w:proofErr w:type="gramStart"/>
            <w:r w:rsidR="008F7C64" w:rsidRPr="00607022">
              <w:rPr>
                <w:rFonts w:ascii="Times New Roman" w:hAnsi="Times New Roman" w:cs="Times New Roman"/>
                <w:b/>
                <w:bCs/>
                <w:sz w:val="20"/>
                <w:szCs w:val="20"/>
                <w:lang w:eastAsia="en-GB"/>
              </w:rPr>
              <w:t>financial year</w:t>
            </w:r>
            <w:proofErr w:type="gramEnd"/>
          </w:p>
        </w:tc>
        <w:tc>
          <w:tcPr>
            <w:tcW w:w="1701" w:type="dxa"/>
            <w:tcBorders>
              <w:top w:val="single" w:sz="4" w:space="0" w:color="auto"/>
              <w:left w:val="nil"/>
              <w:bottom w:val="single" w:sz="8" w:space="0" w:color="auto"/>
              <w:right w:val="nil"/>
            </w:tcBorders>
            <w:shd w:val="clear" w:color="auto" w:fill="auto"/>
            <w:noWrap/>
            <w:vAlign w:val="center"/>
          </w:tcPr>
          <w:p w:rsidR="008F7C64" w:rsidRPr="00607022" w:rsidRDefault="00410955"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(1,599,603)</w:t>
            </w:r>
          </w:p>
        </w:tc>
        <w:tc>
          <w:tcPr>
            <w:tcW w:w="707" w:type="dxa"/>
            <w:tcBorders>
              <w:top w:val="nil"/>
              <w:left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b/>
                <w:bCs/>
                <w:sz w:val="20"/>
                <w:szCs w:val="20"/>
                <w:highlight w:val="yellow"/>
                <w:lang w:eastAsia="en-GB"/>
              </w:rPr>
            </w:pPr>
          </w:p>
        </w:tc>
        <w:tc>
          <w:tcPr>
            <w:tcW w:w="1703" w:type="dxa"/>
            <w:tcBorders>
              <w:top w:val="single" w:sz="4" w:space="0" w:color="auto"/>
              <w:left w:val="nil"/>
              <w:bottom w:val="single" w:sz="8" w:space="0" w:color="auto"/>
              <w:right w:val="nil"/>
            </w:tcBorders>
            <w:shd w:val="clear" w:color="auto" w:fill="auto"/>
            <w:noWrap/>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6,792,079</w:t>
            </w:r>
          </w:p>
        </w:tc>
      </w:tr>
      <w:tr w:rsidR="008F7C64" w:rsidRPr="006B474A" w:rsidTr="00402F95">
        <w:trPr>
          <w:cantSplit/>
          <w:trHeight w:val="643"/>
        </w:trPr>
        <w:tc>
          <w:tcPr>
            <w:tcW w:w="0" w:type="auto"/>
            <w:tcBorders>
              <w:top w:val="nil"/>
              <w:left w:val="nil"/>
              <w:bottom w:val="nil"/>
              <w:right w:val="nil"/>
            </w:tcBorders>
            <w:shd w:val="clear" w:color="auto" w:fill="auto"/>
            <w:noWrap/>
            <w:vAlign w:val="bottom"/>
            <w:hideMark/>
          </w:tcPr>
          <w:p w:rsidR="008F7C64" w:rsidRPr="00607022" w:rsidRDefault="008F7C64" w:rsidP="00512AF5">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 xml:space="preserve">Earnings </w:t>
            </w:r>
            <w:r w:rsidR="00863B49">
              <w:rPr>
                <w:rFonts w:ascii="Times New Roman" w:hAnsi="Times New Roman" w:cs="Times New Roman"/>
                <w:b/>
                <w:bCs/>
                <w:sz w:val="20"/>
                <w:szCs w:val="20"/>
                <w:lang w:eastAsia="en-GB"/>
              </w:rPr>
              <w:t xml:space="preserve">per share </w:t>
            </w:r>
          </w:p>
        </w:tc>
        <w:tc>
          <w:tcPr>
            <w:tcW w:w="0" w:type="auto"/>
            <w:tcBorders>
              <w:top w:val="nil"/>
              <w:left w:val="nil"/>
              <w:bottom w:val="single" w:sz="8" w:space="0" w:color="auto"/>
              <w:right w:val="nil"/>
            </w:tcBorders>
            <w:shd w:val="clear" w:color="auto" w:fill="auto"/>
            <w:noWrap/>
            <w:vAlign w:val="bottom"/>
          </w:tcPr>
          <w:p w:rsidR="008F7C64" w:rsidRPr="00607022" w:rsidRDefault="00410955"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(2.5</w:t>
            </w:r>
            <w:r w:rsidR="008F7C64">
              <w:rPr>
                <w:rFonts w:ascii="Times New Roman" w:hAnsi="Times New Roman" w:cs="Times New Roman"/>
                <w:b/>
                <w:bCs/>
                <w:sz w:val="20"/>
                <w:szCs w:val="20"/>
                <w:lang w:eastAsia="en-GB"/>
              </w:rPr>
              <w:t>p</w:t>
            </w:r>
            <w:r>
              <w:rPr>
                <w:rFonts w:ascii="Times New Roman" w:hAnsi="Times New Roman" w:cs="Times New Roman"/>
                <w:b/>
                <w:bCs/>
                <w:sz w:val="20"/>
                <w:szCs w:val="20"/>
                <w:lang w:eastAsia="en-GB"/>
              </w:rPr>
              <w:t>)</w:t>
            </w:r>
          </w:p>
        </w:tc>
        <w:tc>
          <w:tcPr>
            <w:tcW w:w="0" w:type="auto"/>
            <w:tcBorders>
              <w:top w:val="nil"/>
              <w:left w:val="nil"/>
              <w:bottom w:val="nil"/>
              <w:right w:val="nil"/>
            </w:tcBorders>
            <w:shd w:val="clear" w:color="auto" w:fill="auto"/>
            <w:noWrap/>
            <w:vAlign w:val="bottom"/>
            <w:hideMark/>
          </w:tcPr>
          <w:p w:rsidR="008F7C64" w:rsidRPr="00607022" w:rsidRDefault="008F7C64" w:rsidP="008F7C64">
            <w:pPr>
              <w:spacing w:after="0" w:line="240" w:lineRule="auto"/>
              <w:jc w:val="right"/>
              <w:rPr>
                <w:rFonts w:ascii="Times New Roman" w:hAnsi="Times New Roman" w:cs="Times New Roman"/>
                <w:sz w:val="20"/>
                <w:szCs w:val="20"/>
                <w:highlight w:val="yellow"/>
                <w:lang w:eastAsia="en-GB"/>
              </w:rPr>
            </w:pPr>
          </w:p>
        </w:tc>
        <w:tc>
          <w:tcPr>
            <w:tcW w:w="0" w:type="auto"/>
            <w:tcBorders>
              <w:top w:val="nil"/>
              <w:left w:val="nil"/>
              <w:bottom w:val="single" w:sz="8" w:space="0" w:color="auto"/>
              <w:right w:val="nil"/>
            </w:tcBorders>
            <w:shd w:val="clear" w:color="auto" w:fill="auto"/>
            <w:noWrap/>
            <w:vAlign w:val="bottom"/>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10.8p</w:t>
            </w:r>
          </w:p>
        </w:tc>
      </w:tr>
      <w:tr w:rsidR="00402F95" w:rsidRPr="00607022" w:rsidTr="00512AF5">
        <w:trPr>
          <w:cantSplit/>
          <w:trHeight w:hRule="exact" w:val="898"/>
        </w:trPr>
        <w:tc>
          <w:tcPr>
            <w:tcW w:w="5387" w:type="dxa"/>
            <w:tcBorders>
              <w:top w:val="nil"/>
              <w:left w:val="nil"/>
              <w:bottom w:val="nil"/>
              <w:right w:val="nil"/>
            </w:tcBorders>
            <w:shd w:val="clear" w:color="auto" w:fill="auto"/>
            <w:noWrap/>
            <w:vAlign w:val="center"/>
          </w:tcPr>
          <w:p w:rsidR="00402F95" w:rsidRDefault="00402F95" w:rsidP="00402F95">
            <w:pPr>
              <w:spacing w:after="0" w:line="240" w:lineRule="auto"/>
              <w:rPr>
                <w:rFonts w:ascii="Times New Roman" w:hAnsi="Times New Roman" w:cs="Times New Roman"/>
                <w:b/>
                <w:bCs/>
                <w:sz w:val="20"/>
                <w:szCs w:val="20"/>
                <w:lang w:eastAsia="en-GB"/>
              </w:rPr>
            </w:pPr>
          </w:p>
          <w:p w:rsidR="00512AF5" w:rsidRDefault="00512AF5" w:rsidP="00512AF5">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Other comprehensive income - Items that will not be reclassified to profit and loss</w:t>
            </w:r>
          </w:p>
          <w:p w:rsidR="00402F95" w:rsidRDefault="00402F95" w:rsidP="003B3155">
            <w:pPr>
              <w:spacing w:after="0" w:line="240" w:lineRule="auto"/>
              <w:rPr>
                <w:rFonts w:ascii="Times New Roman" w:hAnsi="Times New Roman" w:cs="Times New Roman"/>
                <w:b/>
                <w:bCs/>
                <w:sz w:val="20"/>
                <w:szCs w:val="20"/>
                <w:lang w:eastAsia="en-GB"/>
              </w:rPr>
            </w:pPr>
          </w:p>
        </w:tc>
        <w:tc>
          <w:tcPr>
            <w:tcW w:w="1701" w:type="dxa"/>
            <w:tcBorders>
              <w:top w:val="single" w:sz="4" w:space="0" w:color="auto"/>
              <w:left w:val="nil"/>
              <w:right w:val="nil"/>
            </w:tcBorders>
            <w:shd w:val="clear" w:color="auto" w:fill="auto"/>
            <w:noWrap/>
            <w:vAlign w:val="center"/>
          </w:tcPr>
          <w:p w:rsidR="00402F95" w:rsidRDefault="00402F95" w:rsidP="003B3155">
            <w:pPr>
              <w:spacing w:after="0" w:line="240" w:lineRule="auto"/>
              <w:jc w:val="right"/>
              <w:rPr>
                <w:rFonts w:ascii="Times New Roman" w:hAnsi="Times New Roman" w:cs="Times New Roman"/>
                <w:b/>
                <w:bCs/>
                <w:sz w:val="20"/>
                <w:szCs w:val="20"/>
                <w:lang w:eastAsia="en-GB"/>
              </w:rPr>
            </w:pPr>
          </w:p>
        </w:tc>
        <w:tc>
          <w:tcPr>
            <w:tcW w:w="707" w:type="dxa"/>
            <w:tcBorders>
              <w:top w:val="nil"/>
              <w:left w:val="nil"/>
              <w:right w:val="nil"/>
            </w:tcBorders>
            <w:shd w:val="clear" w:color="auto" w:fill="auto"/>
            <w:noWrap/>
            <w:vAlign w:val="center"/>
          </w:tcPr>
          <w:p w:rsidR="00402F95" w:rsidRPr="00607022" w:rsidRDefault="00402F95" w:rsidP="003B3155">
            <w:pPr>
              <w:spacing w:after="0" w:line="240" w:lineRule="auto"/>
              <w:rPr>
                <w:rFonts w:ascii="Times New Roman" w:hAnsi="Times New Roman" w:cs="Times New Roman"/>
                <w:b/>
                <w:bCs/>
                <w:sz w:val="20"/>
                <w:szCs w:val="20"/>
                <w:highlight w:val="yellow"/>
                <w:lang w:eastAsia="en-GB"/>
              </w:rPr>
            </w:pPr>
          </w:p>
        </w:tc>
        <w:tc>
          <w:tcPr>
            <w:tcW w:w="1703" w:type="dxa"/>
            <w:tcBorders>
              <w:top w:val="single" w:sz="4" w:space="0" w:color="auto"/>
              <w:left w:val="nil"/>
              <w:right w:val="nil"/>
            </w:tcBorders>
            <w:shd w:val="clear" w:color="auto" w:fill="auto"/>
            <w:noWrap/>
            <w:vAlign w:val="center"/>
          </w:tcPr>
          <w:p w:rsidR="00402F95" w:rsidRDefault="00402F95" w:rsidP="003B3155">
            <w:pPr>
              <w:spacing w:after="0" w:line="240" w:lineRule="auto"/>
              <w:jc w:val="right"/>
              <w:rPr>
                <w:rFonts w:ascii="Times New Roman" w:hAnsi="Times New Roman" w:cs="Times New Roman"/>
                <w:b/>
                <w:bCs/>
                <w:sz w:val="20"/>
                <w:szCs w:val="20"/>
                <w:lang w:eastAsia="en-GB"/>
              </w:rPr>
            </w:pPr>
          </w:p>
        </w:tc>
      </w:tr>
      <w:tr w:rsidR="00410955" w:rsidRPr="00607022" w:rsidTr="00512AF5">
        <w:trPr>
          <w:cantSplit/>
          <w:trHeight w:hRule="exact" w:val="614"/>
        </w:trPr>
        <w:tc>
          <w:tcPr>
            <w:tcW w:w="5387" w:type="dxa"/>
            <w:tcBorders>
              <w:top w:val="nil"/>
              <w:left w:val="nil"/>
              <w:bottom w:val="nil"/>
              <w:right w:val="nil"/>
            </w:tcBorders>
            <w:shd w:val="clear" w:color="auto" w:fill="auto"/>
            <w:noWrap/>
            <w:vAlign w:val="center"/>
            <w:hideMark/>
          </w:tcPr>
          <w:p w:rsidR="00402F95" w:rsidRDefault="00402F95" w:rsidP="003B3155">
            <w:pPr>
              <w:spacing w:after="0" w:line="240" w:lineRule="auto"/>
              <w:rPr>
                <w:rFonts w:ascii="Times New Roman" w:hAnsi="Times New Roman" w:cs="Times New Roman"/>
                <w:b/>
                <w:bCs/>
                <w:sz w:val="20"/>
                <w:szCs w:val="20"/>
                <w:lang w:eastAsia="en-GB"/>
              </w:rPr>
            </w:pPr>
          </w:p>
          <w:p w:rsidR="00410955" w:rsidRDefault="00402F95" w:rsidP="003B3155">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Revaluation of property</w:t>
            </w:r>
          </w:p>
          <w:p w:rsidR="00402F95" w:rsidRPr="00607022" w:rsidRDefault="00402F95" w:rsidP="003B3155">
            <w:pPr>
              <w:spacing w:after="0" w:line="240" w:lineRule="auto"/>
              <w:rPr>
                <w:rFonts w:ascii="Times New Roman" w:hAnsi="Times New Roman" w:cs="Times New Roman"/>
                <w:b/>
                <w:bCs/>
                <w:sz w:val="20"/>
                <w:szCs w:val="20"/>
                <w:lang w:eastAsia="en-GB"/>
              </w:rPr>
            </w:pPr>
          </w:p>
        </w:tc>
        <w:tc>
          <w:tcPr>
            <w:tcW w:w="1701" w:type="dxa"/>
            <w:tcBorders>
              <w:left w:val="nil"/>
              <w:bottom w:val="nil"/>
              <w:right w:val="nil"/>
            </w:tcBorders>
            <w:shd w:val="clear" w:color="auto" w:fill="auto"/>
            <w:noWrap/>
            <w:vAlign w:val="center"/>
          </w:tcPr>
          <w:p w:rsidR="00402F95" w:rsidRDefault="00402F95" w:rsidP="003B3155">
            <w:pPr>
              <w:spacing w:after="0" w:line="240" w:lineRule="auto"/>
              <w:jc w:val="right"/>
              <w:rPr>
                <w:rFonts w:ascii="Times New Roman" w:hAnsi="Times New Roman" w:cs="Times New Roman"/>
                <w:b/>
                <w:bCs/>
                <w:sz w:val="20"/>
                <w:szCs w:val="20"/>
                <w:lang w:eastAsia="en-GB"/>
              </w:rPr>
            </w:pPr>
          </w:p>
          <w:p w:rsidR="00410955" w:rsidRPr="00607022" w:rsidRDefault="00863B49" w:rsidP="003B3155">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1,405,604</w:t>
            </w:r>
          </w:p>
        </w:tc>
        <w:tc>
          <w:tcPr>
            <w:tcW w:w="707" w:type="dxa"/>
            <w:tcBorders>
              <w:left w:val="nil"/>
              <w:bottom w:val="nil"/>
              <w:right w:val="nil"/>
            </w:tcBorders>
            <w:shd w:val="clear" w:color="auto" w:fill="auto"/>
            <w:noWrap/>
            <w:vAlign w:val="center"/>
            <w:hideMark/>
          </w:tcPr>
          <w:p w:rsidR="00410955" w:rsidRPr="00607022" w:rsidRDefault="00410955" w:rsidP="003B3155">
            <w:pPr>
              <w:spacing w:after="0" w:line="240" w:lineRule="auto"/>
              <w:rPr>
                <w:rFonts w:ascii="Times New Roman" w:hAnsi="Times New Roman" w:cs="Times New Roman"/>
                <w:b/>
                <w:bCs/>
                <w:sz w:val="20"/>
                <w:szCs w:val="20"/>
                <w:highlight w:val="yellow"/>
                <w:lang w:eastAsia="en-GB"/>
              </w:rPr>
            </w:pPr>
          </w:p>
        </w:tc>
        <w:tc>
          <w:tcPr>
            <w:tcW w:w="1703" w:type="dxa"/>
            <w:tcBorders>
              <w:left w:val="nil"/>
              <w:bottom w:val="nil"/>
              <w:right w:val="nil"/>
            </w:tcBorders>
            <w:shd w:val="clear" w:color="auto" w:fill="auto"/>
            <w:noWrap/>
            <w:vAlign w:val="center"/>
          </w:tcPr>
          <w:p w:rsidR="00402F95" w:rsidRDefault="00402F95" w:rsidP="003B3155">
            <w:pPr>
              <w:spacing w:after="0" w:line="240" w:lineRule="auto"/>
              <w:jc w:val="right"/>
              <w:rPr>
                <w:rFonts w:ascii="Times New Roman" w:hAnsi="Times New Roman" w:cs="Times New Roman"/>
                <w:b/>
                <w:bCs/>
                <w:sz w:val="20"/>
                <w:szCs w:val="20"/>
                <w:lang w:eastAsia="en-GB"/>
              </w:rPr>
            </w:pPr>
          </w:p>
          <w:p w:rsidR="00410955" w:rsidRPr="00607022" w:rsidRDefault="00402F95" w:rsidP="003B3155">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w:t>
            </w:r>
          </w:p>
        </w:tc>
      </w:tr>
      <w:tr w:rsidR="00410955" w:rsidRPr="00607022" w:rsidTr="00512AF5">
        <w:trPr>
          <w:cantSplit/>
          <w:trHeight w:hRule="exact" w:val="491"/>
        </w:trPr>
        <w:tc>
          <w:tcPr>
            <w:tcW w:w="5387" w:type="dxa"/>
            <w:tcBorders>
              <w:top w:val="nil"/>
              <w:left w:val="nil"/>
              <w:bottom w:val="nil"/>
              <w:right w:val="nil"/>
            </w:tcBorders>
            <w:shd w:val="clear" w:color="auto" w:fill="auto"/>
            <w:noWrap/>
            <w:vAlign w:val="center"/>
            <w:hideMark/>
          </w:tcPr>
          <w:p w:rsidR="00410955" w:rsidRPr="00607022" w:rsidRDefault="00402F95" w:rsidP="003B3155">
            <w:pPr>
              <w:spacing w:after="0" w:line="240" w:lineRule="auto"/>
              <w:rPr>
                <w:rFonts w:ascii="Times New Roman" w:hAnsi="Times New Roman" w:cs="Times New Roman"/>
                <w:sz w:val="20"/>
                <w:szCs w:val="20"/>
                <w:lang w:eastAsia="en-GB"/>
              </w:rPr>
            </w:pPr>
            <w:r>
              <w:rPr>
                <w:rFonts w:ascii="Times New Roman" w:hAnsi="Times New Roman" w:cs="Times New Roman"/>
                <w:b/>
                <w:bCs/>
                <w:sz w:val="20"/>
                <w:szCs w:val="20"/>
                <w:lang w:eastAsia="en-GB"/>
              </w:rPr>
              <w:t>Income tax on items that will not be reclassified to profit and loss</w:t>
            </w:r>
          </w:p>
        </w:tc>
        <w:tc>
          <w:tcPr>
            <w:tcW w:w="1701" w:type="dxa"/>
            <w:tcBorders>
              <w:top w:val="nil"/>
              <w:left w:val="nil"/>
              <w:bottom w:val="single" w:sz="4" w:space="0" w:color="auto"/>
              <w:right w:val="nil"/>
            </w:tcBorders>
            <w:shd w:val="clear" w:color="auto" w:fill="auto"/>
            <w:noWrap/>
            <w:vAlign w:val="center"/>
          </w:tcPr>
          <w:p w:rsidR="00410955" w:rsidRPr="00607022" w:rsidRDefault="00410955" w:rsidP="00402F95">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sidR="00402F95">
              <w:rPr>
                <w:rFonts w:ascii="Times New Roman" w:hAnsi="Times New Roman" w:cs="Times New Roman"/>
                <w:b/>
                <w:bCs/>
                <w:sz w:val="20"/>
                <w:szCs w:val="20"/>
                <w:lang w:eastAsia="en-GB"/>
              </w:rPr>
              <w:t>297,574</w:t>
            </w:r>
            <w:r w:rsidRPr="00607022">
              <w:rPr>
                <w:rFonts w:ascii="Times New Roman" w:hAnsi="Times New Roman" w:cs="Times New Roman"/>
                <w:b/>
                <w:bCs/>
                <w:sz w:val="20"/>
                <w:szCs w:val="20"/>
                <w:lang w:eastAsia="en-GB"/>
              </w:rPr>
              <w:t>)</w:t>
            </w:r>
          </w:p>
        </w:tc>
        <w:tc>
          <w:tcPr>
            <w:tcW w:w="707" w:type="dxa"/>
            <w:tcBorders>
              <w:top w:val="nil"/>
              <w:left w:val="nil"/>
              <w:bottom w:val="nil"/>
              <w:right w:val="nil"/>
            </w:tcBorders>
            <w:shd w:val="clear" w:color="auto" w:fill="auto"/>
            <w:noWrap/>
            <w:vAlign w:val="center"/>
            <w:hideMark/>
          </w:tcPr>
          <w:p w:rsidR="00410955" w:rsidRPr="00607022" w:rsidRDefault="00410955" w:rsidP="003B3155">
            <w:pPr>
              <w:spacing w:after="0" w:line="240" w:lineRule="auto"/>
              <w:rPr>
                <w:rFonts w:ascii="Times New Roman" w:hAnsi="Times New Roman" w:cs="Times New Roman"/>
                <w:sz w:val="20"/>
                <w:szCs w:val="20"/>
                <w:highlight w:val="yellow"/>
                <w:lang w:eastAsia="en-GB"/>
              </w:rPr>
            </w:pPr>
          </w:p>
        </w:tc>
        <w:tc>
          <w:tcPr>
            <w:tcW w:w="1703" w:type="dxa"/>
            <w:tcBorders>
              <w:top w:val="nil"/>
              <w:left w:val="nil"/>
              <w:bottom w:val="single" w:sz="4" w:space="0" w:color="auto"/>
              <w:right w:val="nil"/>
            </w:tcBorders>
            <w:shd w:val="clear" w:color="auto" w:fill="auto"/>
            <w:noWrap/>
            <w:vAlign w:val="center"/>
          </w:tcPr>
          <w:p w:rsidR="00410955" w:rsidRPr="00607022" w:rsidRDefault="00402F95" w:rsidP="003B3155">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w:t>
            </w:r>
          </w:p>
        </w:tc>
      </w:tr>
      <w:tr w:rsidR="00410955" w:rsidRPr="00607022" w:rsidTr="00402F95">
        <w:trPr>
          <w:cantSplit/>
          <w:trHeight w:hRule="exact" w:val="397"/>
        </w:trPr>
        <w:tc>
          <w:tcPr>
            <w:tcW w:w="5387" w:type="dxa"/>
            <w:tcBorders>
              <w:top w:val="nil"/>
              <w:left w:val="nil"/>
              <w:bottom w:val="nil"/>
              <w:right w:val="nil"/>
            </w:tcBorders>
            <w:shd w:val="clear" w:color="auto" w:fill="auto"/>
            <w:noWrap/>
            <w:vAlign w:val="center"/>
            <w:hideMark/>
          </w:tcPr>
          <w:p w:rsidR="00410955" w:rsidRPr="00607022" w:rsidRDefault="00402F95" w:rsidP="003B3155">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Other comprehensive income net of tax</w:t>
            </w:r>
          </w:p>
        </w:tc>
        <w:tc>
          <w:tcPr>
            <w:tcW w:w="1701" w:type="dxa"/>
            <w:tcBorders>
              <w:top w:val="single" w:sz="4" w:space="0" w:color="auto"/>
              <w:left w:val="nil"/>
              <w:bottom w:val="nil"/>
              <w:right w:val="nil"/>
            </w:tcBorders>
            <w:shd w:val="clear" w:color="auto" w:fill="auto"/>
            <w:noWrap/>
            <w:vAlign w:val="center"/>
          </w:tcPr>
          <w:p w:rsidR="00410955" w:rsidRPr="00607022" w:rsidRDefault="00410955" w:rsidP="00402F95">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w:t>
            </w:r>
            <w:r w:rsidR="00402F95">
              <w:rPr>
                <w:rFonts w:ascii="Times New Roman" w:hAnsi="Times New Roman" w:cs="Times New Roman"/>
                <w:b/>
                <w:bCs/>
                <w:sz w:val="20"/>
                <w:szCs w:val="20"/>
                <w:lang w:eastAsia="en-GB"/>
              </w:rPr>
              <w:t>108,030</w:t>
            </w:r>
          </w:p>
        </w:tc>
        <w:tc>
          <w:tcPr>
            <w:tcW w:w="707" w:type="dxa"/>
            <w:tcBorders>
              <w:top w:val="nil"/>
              <w:left w:val="nil"/>
              <w:bottom w:val="nil"/>
              <w:right w:val="nil"/>
            </w:tcBorders>
            <w:shd w:val="clear" w:color="auto" w:fill="auto"/>
            <w:noWrap/>
            <w:vAlign w:val="center"/>
            <w:hideMark/>
          </w:tcPr>
          <w:p w:rsidR="00410955" w:rsidRPr="00607022" w:rsidRDefault="00410955" w:rsidP="003B3155">
            <w:pPr>
              <w:spacing w:after="0" w:line="240" w:lineRule="auto"/>
              <w:rPr>
                <w:rFonts w:ascii="Times New Roman" w:hAnsi="Times New Roman" w:cs="Times New Roman"/>
                <w:sz w:val="20"/>
                <w:szCs w:val="20"/>
                <w:highlight w:val="yellow"/>
                <w:lang w:eastAsia="en-GB"/>
              </w:rPr>
            </w:pPr>
          </w:p>
        </w:tc>
        <w:tc>
          <w:tcPr>
            <w:tcW w:w="1703" w:type="dxa"/>
            <w:tcBorders>
              <w:top w:val="single" w:sz="4" w:space="0" w:color="auto"/>
              <w:left w:val="nil"/>
              <w:bottom w:val="nil"/>
              <w:right w:val="nil"/>
            </w:tcBorders>
            <w:shd w:val="clear" w:color="auto" w:fill="auto"/>
            <w:noWrap/>
            <w:vAlign w:val="center"/>
          </w:tcPr>
          <w:p w:rsidR="00410955" w:rsidRPr="00607022" w:rsidRDefault="00402F95" w:rsidP="003B3155">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w:t>
            </w:r>
          </w:p>
        </w:tc>
      </w:tr>
      <w:tr w:rsidR="00410955" w:rsidRPr="006B474A" w:rsidTr="00402F95">
        <w:trPr>
          <w:cantSplit/>
          <w:trHeight w:hRule="exact" w:val="537"/>
        </w:trPr>
        <w:tc>
          <w:tcPr>
            <w:tcW w:w="5387" w:type="dxa"/>
            <w:tcBorders>
              <w:top w:val="nil"/>
              <w:left w:val="nil"/>
              <w:bottom w:val="nil"/>
              <w:right w:val="nil"/>
            </w:tcBorders>
            <w:shd w:val="clear" w:color="auto" w:fill="auto"/>
            <w:noWrap/>
            <w:vAlign w:val="center"/>
            <w:hideMark/>
          </w:tcPr>
          <w:p w:rsidR="00410955" w:rsidRPr="00607022" w:rsidRDefault="00402F95" w:rsidP="003B3155">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Total Comprehensive (loss) / income</w:t>
            </w:r>
          </w:p>
        </w:tc>
        <w:tc>
          <w:tcPr>
            <w:tcW w:w="1701" w:type="dxa"/>
            <w:tcBorders>
              <w:top w:val="single" w:sz="4" w:space="0" w:color="auto"/>
              <w:left w:val="nil"/>
              <w:bottom w:val="single" w:sz="8" w:space="0" w:color="auto"/>
              <w:right w:val="nil"/>
            </w:tcBorders>
            <w:shd w:val="clear" w:color="auto" w:fill="auto"/>
            <w:noWrap/>
            <w:vAlign w:val="center"/>
          </w:tcPr>
          <w:p w:rsidR="00410955" w:rsidRPr="00607022" w:rsidRDefault="00402F95" w:rsidP="003B3155">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(491,573)</w:t>
            </w:r>
          </w:p>
        </w:tc>
        <w:tc>
          <w:tcPr>
            <w:tcW w:w="707" w:type="dxa"/>
            <w:tcBorders>
              <w:top w:val="nil"/>
              <w:left w:val="nil"/>
              <w:right w:val="nil"/>
            </w:tcBorders>
            <w:shd w:val="clear" w:color="auto" w:fill="auto"/>
            <w:noWrap/>
            <w:vAlign w:val="center"/>
            <w:hideMark/>
          </w:tcPr>
          <w:p w:rsidR="00410955" w:rsidRPr="00607022" w:rsidRDefault="00410955" w:rsidP="003B3155">
            <w:pPr>
              <w:spacing w:after="0" w:line="240" w:lineRule="auto"/>
              <w:rPr>
                <w:rFonts w:ascii="Times New Roman" w:hAnsi="Times New Roman" w:cs="Times New Roman"/>
                <w:b/>
                <w:bCs/>
                <w:sz w:val="20"/>
                <w:szCs w:val="20"/>
                <w:highlight w:val="yellow"/>
                <w:lang w:eastAsia="en-GB"/>
              </w:rPr>
            </w:pPr>
          </w:p>
        </w:tc>
        <w:tc>
          <w:tcPr>
            <w:tcW w:w="1703" w:type="dxa"/>
            <w:tcBorders>
              <w:top w:val="single" w:sz="4" w:space="0" w:color="auto"/>
              <w:left w:val="nil"/>
              <w:bottom w:val="single" w:sz="8" w:space="0" w:color="auto"/>
              <w:right w:val="nil"/>
            </w:tcBorders>
            <w:shd w:val="clear" w:color="auto" w:fill="auto"/>
            <w:noWrap/>
            <w:vAlign w:val="center"/>
          </w:tcPr>
          <w:p w:rsidR="00410955" w:rsidRPr="006B474A" w:rsidRDefault="00410955" w:rsidP="003B3155">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6,792,079</w:t>
            </w:r>
          </w:p>
        </w:tc>
      </w:tr>
    </w:tbl>
    <w:p w:rsidR="00433406" w:rsidRPr="00607022" w:rsidRDefault="00433406" w:rsidP="00882370">
      <w:pPr>
        <w:spacing w:after="0" w:line="240" w:lineRule="auto"/>
        <w:rPr>
          <w:rFonts w:ascii="Times New Roman" w:hAnsi="Times New Roman" w:cs="Times New Roman"/>
          <w:b/>
          <w:bCs/>
          <w:sz w:val="20"/>
          <w:szCs w:val="20"/>
        </w:rPr>
      </w:pPr>
      <w:r w:rsidRPr="00607022">
        <w:rPr>
          <w:rFonts w:ascii="Times New Roman" w:hAnsi="Times New Roman" w:cs="Times New Roman"/>
          <w:b/>
          <w:bCs/>
          <w:sz w:val="20"/>
          <w:szCs w:val="20"/>
        </w:rPr>
        <w:t>CONSOLIDATED STATEMENT OF CHANGES IN EQUITY</w:t>
      </w:r>
    </w:p>
    <w:p w:rsidR="00433406" w:rsidRPr="00607022" w:rsidRDefault="00433406" w:rsidP="00882370">
      <w:pPr>
        <w:spacing w:after="0" w:line="240" w:lineRule="auto"/>
        <w:rPr>
          <w:rFonts w:ascii="Times New Roman" w:hAnsi="Times New Roman" w:cs="Times New Roman"/>
          <w:spacing w:val="2"/>
          <w:sz w:val="20"/>
          <w:szCs w:val="20"/>
        </w:rPr>
      </w:pPr>
      <w:r w:rsidRPr="00607022">
        <w:rPr>
          <w:rFonts w:ascii="Times New Roman" w:hAnsi="Times New Roman" w:cs="Times New Roman"/>
          <w:spacing w:val="2"/>
          <w:sz w:val="20"/>
          <w:szCs w:val="20"/>
        </w:rPr>
        <w:t xml:space="preserve">for the year ended </w:t>
      </w:r>
      <w:r w:rsidR="00DC7B28" w:rsidRPr="00607022">
        <w:rPr>
          <w:rFonts w:ascii="Times New Roman" w:hAnsi="Times New Roman" w:cs="Times New Roman"/>
          <w:spacing w:val="2"/>
          <w:sz w:val="20"/>
          <w:szCs w:val="20"/>
        </w:rPr>
        <w:t>30 June</w:t>
      </w:r>
    </w:p>
    <w:tbl>
      <w:tblPr>
        <w:tblW w:w="9498" w:type="dxa"/>
        <w:tblInd w:w="108" w:type="dxa"/>
        <w:tblLook w:val="04A0" w:firstRow="1" w:lastRow="0" w:firstColumn="1" w:lastColumn="0" w:noHBand="0" w:noVBand="1"/>
      </w:tblPr>
      <w:tblGrid>
        <w:gridCol w:w="5446"/>
        <w:gridCol w:w="1642"/>
        <w:gridCol w:w="283"/>
        <w:gridCol w:w="2127"/>
      </w:tblGrid>
      <w:tr w:rsidR="00A06A8C" w:rsidRPr="00607022" w:rsidTr="00A06A8C">
        <w:trPr>
          <w:trHeight w:val="300"/>
        </w:trPr>
        <w:tc>
          <w:tcPr>
            <w:tcW w:w="5446"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rPr>
                <w:rFonts w:ascii="Times New Roman" w:hAnsi="Times New Roman" w:cs="Times New Roman"/>
                <w:sz w:val="20"/>
                <w:szCs w:val="20"/>
                <w:lang w:eastAsia="en-GB"/>
              </w:rPr>
            </w:pPr>
          </w:p>
        </w:tc>
        <w:tc>
          <w:tcPr>
            <w:tcW w:w="1642" w:type="dxa"/>
            <w:tcBorders>
              <w:top w:val="nil"/>
              <w:left w:val="nil"/>
              <w:bottom w:val="nil"/>
              <w:right w:val="nil"/>
            </w:tcBorders>
            <w:shd w:val="clear" w:color="auto" w:fill="auto"/>
            <w:noWrap/>
            <w:vAlign w:val="bottom"/>
            <w:hideMark/>
          </w:tcPr>
          <w:p w:rsidR="00A06A8C" w:rsidRPr="00607022" w:rsidRDefault="00052504" w:rsidP="00882370">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30 June 201</w:t>
            </w:r>
            <w:r w:rsidR="008F7C64">
              <w:rPr>
                <w:rFonts w:ascii="Times New Roman" w:hAnsi="Times New Roman" w:cs="Times New Roman"/>
                <w:b/>
                <w:bCs/>
                <w:sz w:val="20"/>
                <w:szCs w:val="20"/>
                <w:lang w:eastAsia="en-GB"/>
              </w:rPr>
              <w:t>8</w:t>
            </w:r>
          </w:p>
        </w:tc>
        <w:tc>
          <w:tcPr>
            <w:tcW w:w="283"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jc w:val="right"/>
              <w:rPr>
                <w:rFonts w:ascii="Times New Roman" w:hAnsi="Times New Roman" w:cs="Times New Roman"/>
                <w:sz w:val="20"/>
                <w:szCs w:val="20"/>
                <w:lang w:eastAsia="en-GB"/>
              </w:rPr>
            </w:pPr>
          </w:p>
        </w:tc>
        <w:tc>
          <w:tcPr>
            <w:tcW w:w="2127" w:type="dxa"/>
            <w:tcBorders>
              <w:top w:val="nil"/>
              <w:left w:val="nil"/>
              <w:bottom w:val="nil"/>
              <w:right w:val="nil"/>
            </w:tcBorders>
            <w:vAlign w:val="bottom"/>
          </w:tcPr>
          <w:p w:rsidR="00A06A8C" w:rsidRPr="00607022" w:rsidRDefault="00052504" w:rsidP="00882370">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30 June 201</w:t>
            </w:r>
            <w:r w:rsidR="008F7C64">
              <w:rPr>
                <w:rFonts w:ascii="Times New Roman" w:hAnsi="Times New Roman" w:cs="Times New Roman"/>
                <w:bCs/>
                <w:sz w:val="20"/>
                <w:szCs w:val="20"/>
                <w:lang w:eastAsia="en-GB"/>
              </w:rPr>
              <w:t>7</w:t>
            </w:r>
          </w:p>
        </w:tc>
      </w:tr>
      <w:tr w:rsidR="00A06A8C" w:rsidRPr="00607022" w:rsidTr="00A06A8C">
        <w:trPr>
          <w:trHeight w:val="300"/>
        </w:trPr>
        <w:tc>
          <w:tcPr>
            <w:tcW w:w="5446"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rPr>
                <w:rFonts w:ascii="Times New Roman" w:hAnsi="Times New Roman" w:cs="Times New Roman"/>
                <w:sz w:val="20"/>
                <w:szCs w:val="20"/>
                <w:lang w:eastAsia="en-GB"/>
              </w:rPr>
            </w:pPr>
          </w:p>
        </w:tc>
        <w:tc>
          <w:tcPr>
            <w:tcW w:w="1642"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 xml:space="preserve">£   </w:t>
            </w:r>
          </w:p>
        </w:tc>
        <w:tc>
          <w:tcPr>
            <w:tcW w:w="283" w:type="dxa"/>
            <w:tcBorders>
              <w:top w:val="nil"/>
              <w:left w:val="nil"/>
              <w:bottom w:val="nil"/>
              <w:right w:val="nil"/>
            </w:tcBorders>
            <w:shd w:val="clear" w:color="auto" w:fill="auto"/>
            <w:noWrap/>
            <w:vAlign w:val="bottom"/>
            <w:hideMark/>
          </w:tcPr>
          <w:p w:rsidR="00A06A8C" w:rsidRPr="00607022" w:rsidRDefault="00A06A8C" w:rsidP="00882370">
            <w:pPr>
              <w:spacing w:after="0" w:line="240" w:lineRule="auto"/>
              <w:rPr>
                <w:rFonts w:ascii="Times New Roman" w:hAnsi="Times New Roman" w:cs="Times New Roman"/>
                <w:sz w:val="20"/>
                <w:szCs w:val="20"/>
                <w:lang w:eastAsia="en-GB"/>
              </w:rPr>
            </w:pPr>
          </w:p>
        </w:tc>
        <w:tc>
          <w:tcPr>
            <w:tcW w:w="2127" w:type="dxa"/>
            <w:tcBorders>
              <w:top w:val="nil"/>
              <w:left w:val="nil"/>
              <w:bottom w:val="nil"/>
              <w:right w:val="nil"/>
            </w:tcBorders>
            <w:vAlign w:val="bottom"/>
          </w:tcPr>
          <w:p w:rsidR="00A06A8C" w:rsidRPr="00607022" w:rsidRDefault="00A06A8C" w:rsidP="00882370">
            <w:pPr>
              <w:spacing w:after="0" w:line="240" w:lineRule="auto"/>
              <w:jc w:val="right"/>
              <w:rPr>
                <w:rFonts w:ascii="Times New Roman" w:hAnsi="Times New Roman" w:cs="Times New Roman"/>
                <w:bCs/>
                <w:sz w:val="20"/>
                <w:szCs w:val="20"/>
                <w:lang w:eastAsia="en-GB"/>
              </w:rPr>
            </w:pPr>
            <w:r w:rsidRPr="00607022">
              <w:rPr>
                <w:rFonts w:ascii="Times New Roman" w:hAnsi="Times New Roman" w:cs="Times New Roman"/>
                <w:bCs/>
                <w:sz w:val="20"/>
                <w:szCs w:val="20"/>
                <w:lang w:eastAsia="en-GB"/>
              </w:rPr>
              <w:t xml:space="preserve">£   </w:t>
            </w:r>
          </w:p>
        </w:tc>
      </w:tr>
      <w:tr w:rsidR="008F7C64" w:rsidRPr="00E13D1E" w:rsidTr="00EF2785">
        <w:trPr>
          <w:trHeight w:val="300"/>
        </w:trPr>
        <w:tc>
          <w:tcPr>
            <w:tcW w:w="5446" w:type="dxa"/>
            <w:tcBorders>
              <w:top w:val="nil"/>
              <w:left w:val="nil"/>
              <w:bottom w:val="nil"/>
              <w:right w:val="nil"/>
            </w:tcBorders>
            <w:shd w:val="clear" w:color="auto" w:fill="auto"/>
            <w:noWrap/>
            <w:vAlign w:val="bottom"/>
            <w:hideMark/>
          </w:tcPr>
          <w:p w:rsidR="008F7C64" w:rsidRPr="00607022" w:rsidRDefault="008F7C64" w:rsidP="008F7C64">
            <w:pPr>
              <w:spacing w:after="0" w:line="240" w:lineRule="auto"/>
              <w:ind w:left="-108"/>
              <w:rPr>
                <w:rFonts w:ascii="Times New Roman" w:hAnsi="Times New Roman" w:cs="Times New Roman"/>
                <w:b/>
                <w:bCs/>
                <w:sz w:val="20"/>
                <w:szCs w:val="20"/>
              </w:rPr>
            </w:pPr>
            <w:r w:rsidRPr="00607022">
              <w:rPr>
                <w:rFonts w:ascii="Times New Roman" w:hAnsi="Times New Roman" w:cs="Times New Roman"/>
                <w:b/>
                <w:bCs/>
                <w:sz w:val="20"/>
                <w:szCs w:val="20"/>
              </w:rPr>
              <w:t>Opening capital and reserves attributable to equity holders</w:t>
            </w:r>
          </w:p>
        </w:tc>
        <w:tc>
          <w:tcPr>
            <w:tcW w:w="1642" w:type="dxa"/>
            <w:tcBorders>
              <w:top w:val="nil"/>
              <w:left w:val="nil"/>
              <w:bottom w:val="nil"/>
              <w:right w:val="nil"/>
            </w:tcBorders>
            <w:shd w:val="clear" w:color="auto" w:fill="auto"/>
            <w:noWrap/>
            <w:vAlign w:val="center"/>
          </w:tcPr>
          <w:p w:rsidR="008F7C64" w:rsidRPr="00607022" w:rsidRDefault="00402F95"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55,680,730</w:t>
            </w:r>
          </w:p>
        </w:tc>
        <w:tc>
          <w:tcPr>
            <w:tcW w:w="283"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50,598,883</w:t>
            </w:r>
          </w:p>
        </w:tc>
      </w:tr>
      <w:tr w:rsidR="008F7C64" w:rsidRPr="00E13D1E" w:rsidTr="00EF2785">
        <w:trPr>
          <w:trHeight w:val="300"/>
        </w:trPr>
        <w:tc>
          <w:tcPr>
            <w:tcW w:w="5446" w:type="dxa"/>
            <w:tcBorders>
              <w:top w:val="nil"/>
              <w:left w:val="nil"/>
              <w:bottom w:val="nil"/>
              <w:right w:val="nil"/>
            </w:tcBorders>
            <w:shd w:val="clear" w:color="auto" w:fill="auto"/>
            <w:noWrap/>
            <w:vAlign w:val="bottom"/>
            <w:hideMark/>
          </w:tcPr>
          <w:p w:rsidR="008F7C64" w:rsidRPr="00607022" w:rsidRDefault="008F7C64" w:rsidP="00512AF5">
            <w:pPr>
              <w:spacing w:after="0" w:line="240" w:lineRule="auto"/>
              <w:ind w:left="-108"/>
              <w:rPr>
                <w:rFonts w:ascii="Times New Roman" w:hAnsi="Times New Roman" w:cs="Times New Roman"/>
                <w:bCs/>
                <w:sz w:val="20"/>
                <w:szCs w:val="20"/>
              </w:rPr>
            </w:pPr>
            <w:r w:rsidRPr="00607022">
              <w:rPr>
                <w:rFonts w:ascii="Times New Roman" w:hAnsi="Times New Roman" w:cs="Times New Roman"/>
                <w:bCs/>
                <w:sz w:val="20"/>
                <w:szCs w:val="20"/>
              </w:rPr>
              <w:t>Total comprehensive income</w:t>
            </w:r>
            <w:r>
              <w:rPr>
                <w:rFonts w:ascii="Times New Roman" w:hAnsi="Times New Roman" w:cs="Times New Roman"/>
                <w:bCs/>
                <w:sz w:val="20"/>
                <w:szCs w:val="20"/>
              </w:rPr>
              <w:t xml:space="preserve"> and </w:t>
            </w:r>
            <w:r w:rsidR="00512AF5">
              <w:rPr>
                <w:rFonts w:ascii="Times New Roman" w:hAnsi="Times New Roman" w:cs="Times New Roman"/>
                <w:bCs/>
                <w:sz w:val="20"/>
                <w:szCs w:val="20"/>
              </w:rPr>
              <w:t xml:space="preserve">(loss) / </w:t>
            </w:r>
            <w:r>
              <w:rPr>
                <w:rFonts w:ascii="Times New Roman" w:hAnsi="Times New Roman" w:cs="Times New Roman"/>
                <w:bCs/>
                <w:sz w:val="20"/>
                <w:szCs w:val="20"/>
              </w:rPr>
              <w:t>profit</w:t>
            </w:r>
            <w:r w:rsidRPr="00607022">
              <w:rPr>
                <w:rFonts w:ascii="Times New Roman" w:hAnsi="Times New Roman" w:cs="Times New Roman"/>
                <w:bCs/>
                <w:sz w:val="20"/>
                <w:szCs w:val="20"/>
              </w:rPr>
              <w:t xml:space="preserve"> for the financial year</w:t>
            </w:r>
          </w:p>
        </w:tc>
        <w:tc>
          <w:tcPr>
            <w:tcW w:w="1642" w:type="dxa"/>
            <w:tcBorders>
              <w:top w:val="nil"/>
              <w:left w:val="nil"/>
              <w:bottom w:val="nil"/>
              <w:right w:val="nil"/>
            </w:tcBorders>
            <w:shd w:val="clear" w:color="auto" w:fill="auto"/>
            <w:noWrap/>
            <w:vAlign w:val="bottom"/>
          </w:tcPr>
          <w:p w:rsidR="008F7C64" w:rsidRPr="00607022" w:rsidRDefault="00402F95"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(491,573)</w:t>
            </w:r>
          </w:p>
        </w:tc>
        <w:tc>
          <w:tcPr>
            <w:tcW w:w="283"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shd w:val="clear" w:color="auto" w:fill="auto"/>
            <w:vAlign w:val="bottom"/>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6,792,079</w:t>
            </w:r>
          </w:p>
        </w:tc>
      </w:tr>
      <w:tr w:rsidR="008F7C64" w:rsidRPr="00E13D1E" w:rsidTr="00EF2785">
        <w:trPr>
          <w:trHeight w:val="300"/>
        </w:trPr>
        <w:tc>
          <w:tcPr>
            <w:tcW w:w="5446" w:type="dxa"/>
            <w:tcBorders>
              <w:top w:val="nil"/>
              <w:left w:val="nil"/>
              <w:bottom w:val="nil"/>
              <w:right w:val="nil"/>
            </w:tcBorders>
            <w:shd w:val="clear" w:color="auto" w:fill="auto"/>
            <w:noWrap/>
            <w:vAlign w:val="bottom"/>
            <w:hideMark/>
          </w:tcPr>
          <w:p w:rsidR="008F7C64" w:rsidRPr="00607022" w:rsidRDefault="008F7C64" w:rsidP="008F7C64">
            <w:pPr>
              <w:spacing w:after="0" w:line="240" w:lineRule="auto"/>
              <w:ind w:left="-108"/>
              <w:rPr>
                <w:rFonts w:ascii="Times New Roman" w:hAnsi="Times New Roman" w:cs="Times New Roman"/>
                <w:bCs/>
                <w:sz w:val="20"/>
                <w:szCs w:val="20"/>
              </w:rPr>
            </w:pPr>
            <w:r w:rsidRPr="00607022">
              <w:rPr>
                <w:rFonts w:ascii="Times New Roman" w:hAnsi="Times New Roman" w:cs="Times New Roman"/>
                <w:bCs/>
                <w:sz w:val="20"/>
                <w:szCs w:val="20"/>
              </w:rPr>
              <w:t xml:space="preserve">Decrease of </w:t>
            </w:r>
            <w:r>
              <w:rPr>
                <w:rFonts w:ascii="Times New Roman" w:hAnsi="Times New Roman" w:cs="Times New Roman"/>
                <w:bCs/>
                <w:sz w:val="20"/>
                <w:szCs w:val="20"/>
              </w:rPr>
              <w:t>share capital on cancellation of shares</w:t>
            </w:r>
          </w:p>
        </w:tc>
        <w:tc>
          <w:tcPr>
            <w:tcW w:w="1642" w:type="dxa"/>
            <w:tcBorders>
              <w:top w:val="nil"/>
              <w:left w:val="nil"/>
              <w:bottom w:val="nil"/>
              <w:right w:val="nil"/>
            </w:tcBorders>
            <w:shd w:val="clear" w:color="auto" w:fill="auto"/>
            <w:noWrap/>
            <w:vAlign w:val="bottom"/>
          </w:tcPr>
          <w:p w:rsidR="008F7C64" w:rsidRPr="00607022" w:rsidRDefault="00402F95"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w:t>
            </w:r>
          </w:p>
        </w:tc>
        <w:tc>
          <w:tcPr>
            <w:tcW w:w="283"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shd w:val="clear" w:color="auto" w:fill="auto"/>
            <w:vAlign w:val="bottom"/>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(2,826)</w:t>
            </w:r>
          </w:p>
        </w:tc>
      </w:tr>
      <w:tr w:rsidR="008F7C64" w:rsidRPr="00E13D1E" w:rsidTr="00EF2785">
        <w:trPr>
          <w:trHeight w:val="300"/>
        </w:trPr>
        <w:tc>
          <w:tcPr>
            <w:tcW w:w="5446" w:type="dxa"/>
            <w:tcBorders>
              <w:top w:val="nil"/>
              <w:left w:val="nil"/>
              <w:bottom w:val="nil"/>
              <w:right w:val="nil"/>
            </w:tcBorders>
            <w:shd w:val="clear" w:color="auto" w:fill="auto"/>
            <w:noWrap/>
            <w:vAlign w:val="bottom"/>
            <w:hideMark/>
          </w:tcPr>
          <w:p w:rsidR="008F7C64" w:rsidRPr="00607022" w:rsidRDefault="008F7C64" w:rsidP="00863B49">
            <w:pPr>
              <w:spacing w:after="0" w:line="240" w:lineRule="auto"/>
              <w:ind w:left="-108"/>
              <w:rPr>
                <w:rFonts w:ascii="Times New Roman" w:hAnsi="Times New Roman" w:cs="Times New Roman"/>
                <w:bCs/>
                <w:sz w:val="20"/>
                <w:szCs w:val="20"/>
              </w:rPr>
            </w:pPr>
            <w:r>
              <w:rPr>
                <w:rFonts w:ascii="Times New Roman" w:hAnsi="Times New Roman" w:cs="Times New Roman"/>
                <w:bCs/>
                <w:sz w:val="20"/>
                <w:szCs w:val="20"/>
              </w:rPr>
              <w:t>Increase of capital redemption reserve on cancellation of shares</w:t>
            </w:r>
          </w:p>
        </w:tc>
        <w:tc>
          <w:tcPr>
            <w:tcW w:w="1642" w:type="dxa"/>
            <w:tcBorders>
              <w:top w:val="nil"/>
              <w:left w:val="nil"/>
              <w:bottom w:val="nil"/>
              <w:right w:val="nil"/>
            </w:tcBorders>
            <w:shd w:val="clear" w:color="auto" w:fill="auto"/>
            <w:noWrap/>
            <w:vAlign w:val="bottom"/>
          </w:tcPr>
          <w:p w:rsidR="008F7C64" w:rsidRPr="00607022" w:rsidRDefault="00402F95"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w:t>
            </w:r>
          </w:p>
        </w:tc>
        <w:tc>
          <w:tcPr>
            <w:tcW w:w="283"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shd w:val="clear" w:color="auto" w:fill="auto"/>
            <w:vAlign w:val="bottom"/>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2,826</w:t>
            </w:r>
          </w:p>
        </w:tc>
      </w:tr>
      <w:tr w:rsidR="008F7C64" w:rsidRPr="00E13D1E" w:rsidTr="00EF2785">
        <w:trPr>
          <w:trHeight w:val="300"/>
        </w:trPr>
        <w:tc>
          <w:tcPr>
            <w:tcW w:w="5446" w:type="dxa"/>
            <w:tcBorders>
              <w:top w:val="nil"/>
              <w:left w:val="nil"/>
              <w:bottom w:val="nil"/>
              <w:right w:val="nil"/>
            </w:tcBorders>
            <w:shd w:val="clear" w:color="auto" w:fill="auto"/>
            <w:noWrap/>
            <w:vAlign w:val="bottom"/>
            <w:hideMark/>
          </w:tcPr>
          <w:p w:rsidR="008F7C64" w:rsidRPr="00607022" w:rsidRDefault="008F7C64" w:rsidP="008F7C64">
            <w:pPr>
              <w:spacing w:after="0" w:line="240" w:lineRule="auto"/>
              <w:ind w:left="-108"/>
              <w:rPr>
                <w:rFonts w:ascii="Times New Roman" w:hAnsi="Times New Roman" w:cs="Times New Roman"/>
                <w:bCs/>
                <w:sz w:val="20"/>
                <w:szCs w:val="20"/>
              </w:rPr>
            </w:pPr>
            <w:r w:rsidRPr="00607022">
              <w:rPr>
                <w:rFonts w:ascii="Times New Roman" w:hAnsi="Times New Roman" w:cs="Times New Roman"/>
                <w:bCs/>
                <w:sz w:val="20"/>
                <w:szCs w:val="20"/>
              </w:rPr>
              <w:t xml:space="preserve">Decrease of </w:t>
            </w:r>
            <w:r>
              <w:rPr>
                <w:rFonts w:ascii="Times New Roman" w:hAnsi="Times New Roman" w:cs="Times New Roman"/>
                <w:bCs/>
                <w:sz w:val="20"/>
                <w:szCs w:val="20"/>
              </w:rPr>
              <w:t>retained earnings on cancellation of shares</w:t>
            </w:r>
          </w:p>
        </w:tc>
        <w:tc>
          <w:tcPr>
            <w:tcW w:w="1642" w:type="dxa"/>
            <w:tcBorders>
              <w:top w:val="nil"/>
              <w:left w:val="nil"/>
              <w:bottom w:val="nil"/>
              <w:right w:val="nil"/>
            </w:tcBorders>
            <w:shd w:val="clear" w:color="auto" w:fill="auto"/>
            <w:noWrap/>
            <w:vAlign w:val="bottom"/>
          </w:tcPr>
          <w:p w:rsidR="008F7C64" w:rsidRPr="00607022" w:rsidRDefault="00402F95"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w:t>
            </w:r>
          </w:p>
        </w:tc>
        <w:tc>
          <w:tcPr>
            <w:tcW w:w="283"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2127" w:type="dxa"/>
            <w:tcBorders>
              <w:top w:val="nil"/>
              <w:left w:val="nil"/>
              <w:bottom w:val="nil"/>
              <w:right w:val="nil"/>
            </w:tcBorders>
            <w:shd w:val="clear" w:color="auto" w:fill="auto"/>
            <w:vAlign w:val="bottom"/>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(194,306)</w:t>
            </w:r>
          </w:p>
        </w:tc>
      </w:tr>
      <w:tr w:rsidR="008F7C64" w:rsidRPr="00E13D1E" w:rsidTr="00EF2785">
        <w:trPr>
          <w:trHeight w:val="300"/>
        </w:trPr>
        <w:tc>
          <w:tcPr>
            <w:tcW w:w="5446" w:type="dxa"/>
            <w:tcBorders>
              <w:top w:val="nil"/>
              <w:left w:val="nil"/>
              <w:bottom w:val="nil"/>
              <w:right w:val="nil"/>
            </w:tcBorders>
            <w:shd w:val="clear" w:color="auto" w:fill="auto"/>
            <w:noWrap/>
            <w:vAlign w:val="bottom"/>
            <w:hideMark/>
          </w:tcPr>
          <w:p w:rsidR="008F7C64" w:rsidRPr="00607022" w:rsidRDefault="008F7C64" w:rsidP="008F7C64">
            <w:pPr>
              <w:spacing w:after="0" w:line="240" w:lineRule="auto"/>
              <w:ind w:left="-108"/>
              <w:rPr>
                <w:rFonts w:ascii="Times New Roman" w:hAnsi="Times New Roman" w:cs="Times New Roman"/>
                <w:bCs/>
                <w:sz w:val="20"/>
                <w:szCs w:val="20"/>
              </w:rPr>
            </w:pPr>
            <w:r w:rsidRPr="00607022">
              <w:rPr>
                <w:rFonts w:ascii="Times New Roman" w:hAnsi="Times New Roman" w:cs="Times New Roman"/>
                <w:bCs/>
                <w:sz w:val="20"/>
                <w:szCs w:val="20"/>
              </w:rPr>
              <w:t>Dividends paid (net)</w:t>
            </w:r>
          </w:p>
        </w:tc>
        <w:tc>
          <w:tcPr>
            <w:tcW w:w="1642" w:type="dxa"/>
            <w:tcBorders>
              <w:top w:val="nil"/>
              <w:left w:val="nil"/>
              <w:right w:val="nil"/>
            </w:tcBorders>
            <w:shd w:val="clear" w:color="auto" w:fill="auto"/>
            <w:noWrap/>
            <w:vAlign w:val="center"/>
          </w:tcPr>
          <w:p w:rsidR="008F7C64" w:rsidRPr="00607022" w:rsidRDefault="008F7C64" w:rsidP="00402F95">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w:t>
            </w:r>
            <w:r w:rsidR="00402F95">
              <w:rPr>
                <w:rFonts w:ascii="Times New Roman" w:hAnsi="Times New Roman" w:cs="Times New Roman"/>
                <w:b/>
                <w:bCs/>
                <w:sz w:val="20"/>
                <w:szCs w:val="20"/>
                <w:lang w:eastAsia="en-GB"/>
              </w:rPr>
              <w:t>520,222</w:t>
            </w:r>
            <w:r w:rsidRPr="00607022">
              <w:rPr>
                <w:rFonts w:ascii="Times New Roman" w:hAnsi="Times New Roman" w:cs="Times New Roman"/>
                <w:b/>
                <w:bCs/>
                <w:sz w:val="20"/>
                <w:szCs w:val="20"/>
                <w:lang w:eastAsia="en-GB"/>
              </w:rPr>
              <w:t>)</w:t>
            </w:r>
          </w:p>
        </w:tc>
        <w:tc>
          <w:tcPr>
            <w:tcW w:w="283"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2127" w:type="dxa"/>
            <w:tcBorders>
              <w:top w:val="nil"/>
              <w:left w:val="nil"/>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(1,515,926)</w:t>
            </w:r>
          </w:p>
        </w:tc>
      </w:tr>
      <w:tr w:rsidR="008F7C64" w:rsidRPr="00E13D1E" w:rsidTr="00EF2785">
        <w:trPr>
          <w:trHeight w:val="300"/>
        </w:trPr>
        <w:tc>
          <w:tcPr>
            <w:tcW w:w="5446"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ind w:left="-108"/>
              <w:rPr>
                <w:rFonts w:ascii="Times New Roman" w:hAnsi="Times New Roman" w:cs="Times New Roman"/>
                <w:b/>
                <w:bCs/>
                <w:sz w:val="20"/>
                <w:szCs w:val="20"/>
              </w:rPr>
            </w:pPr>
            <w:r w:rsidRPr="00607022">
              <w:rPr>
                <w:rFonts w:ascii="Times New Roman" w:hAnsi="Times New Roman" w:cs="Times New Roman"/>
                <w:b/>
                <w:bCs/>
                <w:sz w:val="20"/>
                <w:szCs w:val="20"/>
              </w:rPr>
              <w:t>Closing capital and reserves attributable to equity holders</w:t>
            </w:r>
          </w:p>
        </w:tc>
        <w:tc>
          <w:tcPr>
            <w:tcW w:w="1642" w:type="dxa"/>
            <w:tcBorders>
              <w:top w:val="single" w:sz="4" w:space="0" w:color="auto"/>
              <w:left w:val="nil"/>
              <w:bottom w:val="single" w:sz="8" w:space="0" w:color="auto"/>
              <w:right w:val="nil"/>
            </w:tcBorders>
            <w:shd w:val="clear" w:color="auto" w:fill="auto"/>
            <w:noWrap/>
            <w:vAlign w:val="center"/>
          </w:tcPr>
          <w:p w:rsidR="008F7C64" w:rsidRPr="00607022" w:rsidRDefault="00512AF5"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5</w:t>
            </w:r>
            <w:r w:rsidR="00863B49">
              <w:rPr>
                <w:rFonts w:ascii="Times New Roman" w:hAnsi="Times New Roman" w:cs="Times New Roman"/>
                <w:b/>
                <w:bCs/>
                <w:sz w:val="20"/>
                <w:szCs w:val="20"/>
                <w:lang w:eastAsia="en-GB"/>
              </w:rPr>
              <w:t>3,668,</w:t>
            </w:r>
            <w:r>
              <w:rPr>
                <w:rFonts w:ascii="Times New Roman" w:hAnsi="Times New Roman" w:cs="Times New Roman"/>
                <w:b/>
                <w:bCs/>
                <w:sz w:val="20"/>
                <w:szCs w:val="20"/>
                <w:lang w:eastAsia="en-GB"/>
              </w:rPr>
              <w:t>935</w:t>
            </w:r>
          </w:p>
        </w:tc>
        <w:tc>
          <w:tcPr>
            <w:tcW w:w="283"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jc w:val="right"/>
              <w:rPr>
                <w:rFonts w:ascii="Times New Roman" w:hAnsi="Times New Roman" w:cs="Times New Roman"/>
                <w:sz w:val="20"/>
                <w:szCs w:val="20"/>
                <w:highlight w:val="yellow"/>
                <w:lang w:eastAsia="en-GB"/>
              </w:rPr>
            </w:pPr>
          </w:p>
        </w:tc>
        <w:tc>
          <w:tcPr>
            <w:tcW w:w="2127" w:type="dxa"/>
            <w:tcBorders>
              <w:top w:val="single" w:sz="4" w:space="0" w:color="auto"/>
              <w:left w:val="nil"/>
              <w:bottom w:val="single" w:sz="8" w:space="0" w:color="auto"/>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55,680,730</w:t>
            </w:r>
          </w:p>
        </w:tc>
      </w:tr>
    </w:tbl>
    <w:p w:rsidR="00433406" w:rsidRPr="00607022" w:rsidRDefault="00882370" w:rsidP="00882370">
      <w:pPr>
        <w:tabs>
          <w:tab w:val="left" w:pos="1767"/>
        </w:tabs>
        <w:rPr>
          <w:rFonts w:ascii="Times New Roman" w:hAnsi="Times New Roman" w:cs="Times New Roman"/>
          <w:bCs/>
          <w:sz w:val="20"/>
          <w:szCs w:val="20"/>
        </w:rPr>
      </w:pPr>
      <w:r w:rsidRPr="00607022">
        <w:rPr>
          <w:rFonts w:ascii="Times New Roman" w:hAnsi="Times New Roman" w:cs="Times New Roman"/>
          <w:bCs/>
          <w:sz w:val="20"/>
          <w:szCs w:val="20"/>
        </w:rPr>
        <w:tab/>
      </w:r>
    </w:p>
    <w:p w:rsidR="00433406" w:rsidRPr="00607022" w:rsidRDefault="00433406" w:rsidP="00433406">
      <w:pPr>
        <w:rPr>
          <w:rFonts w:ascii="Times New Roman" w:hAnsi="Times New Roman" w:cs="Times New Roman"/>
          <w:color w:val="002060"/>
          <w:sz w:val="20"/>
          <w:szCs w:val="20"/>
          <w:highlight w:val="yellow"/>
        </w:rPr>
      </w:pPr>
      <w:r w:rsidRPr="00607022">
        <w:rPr>
          <w:rFonts w:ascii="Times New Roman" w:hAnsi="Times New Roman" w:cs="Times New Roman"/>
          <w:color w:val="002060"/>
          <w:sz w:val="20"/>
          <w:szCs w:val="20"/>
          <w:highlight w:val="yellow"/>
        </w:rPr>
        <w:br w:type="page"/>
      </w:r>
      <w:bookmarkStart w:id="0" w:name="_GoBack"/>
      <w:bookmarkEnd w:id="0"/>
    </w:p>
    <w:p w:rsidR="00433406" w:rsidRPr="00607022" w:rsidRDefault="00433406" w:rsidP="00882370">
      <w:pPr>
        <w:spacing w:after="0" w:line="240" w:lineRule="auto"/>
        <w:rPr>
          <w:rFonts w:ascii="Times New Roman" w:hAnsi="Times New Roman" w:cs="Times New Roman"/>
          <w:b/>
          <w:bCs/>
          <w:sz w:val="20"/>
          <w:szCs w:val="20"/>
        </w:rPr>
      </w:pPr>
      <w:r w:rsidRPr="00607022">
        <w:rPr>
          <w:rFonts w:ascii="Times New Roman" w:hAnsi="Times New Roman" w:cs="Times New Roman"/>
          <w:b/>
          <w:bCs/>
          <w:sz w:val="20"/>
          <w:szCs w:val="20"/>
        </w:rPr>
        <w:lastRenderedPageBreak/>
        <w:t xml:space="preserve">CONSOLIDATED </w:t>
      </w:r>
      <w:r w:rsidR="00882370" w:rsidRPr="00607022">
        <w:rPr>
          <w:rFonts w:ascii="Times New Roman" w:hAnsi="Times New Roman" w:cs="Times New Roman"/>
          <w:b/>
          <w:bCs/>
          <w:sz w:val="20"/>
          <w:szCs w:val="20"/>
        </w:rPr>
        <w:t>STATEMENT OF FINANCIAL POSITION</w:t>
      </w:r>
    </w:p>
    <w:p w:rsidR="00433406" w:rsidRPr="00607022" w:rsidRDefault="00433406" w:rsidP="00882370">
      <w:pPr>
        <w:spacing w:after="0" w:line="240" w:lineRule="auto"/>
        <w:rPr>
          <w:rFonts w:ascii="Times New Roman" w:hAnsi="Times New Roman" w:cs="Times New Roman"/>
          <w:spacing w:val="2"/>
          <w:sz w:val="20"/>
          <w:szCs w:val="20"/>
        </w:rPr>
      </w:pPr>
      <w:r w:rsidRPr="00607022">
        <w:rPr>
          <w:rFonts w:ascii="Times New Roman" w:hAnsi="Times New Roman" w:cs="Times New Roman"/>
          <w:spacing w:val="2"/>
          <w:sz w:val="20"/>
          <w:szCs w:val="20"/>
        </w:rPr>
        <w:t xml:space="preserve">at </w:t>
      </w:r>
      <w:r w:rsidR="006C61DF" w:rsidRPr="00607022">
        <w:rPr>
          <w:rFonts w:ascii="Times New Roman" w:hAnsi="Times New Roman" w:cs="Times New Roman"/>
          <w:spacing w:val="2"/>
          <w:sz w:val="20"/>
          <w:szCs w:val="20"/>
        </w:rPr>
        <w:t>30 June</w:t>
      </w:r>
    </w:p>
    <w:tbl>
      <w:tblPr>
        <w:tblW w:w="9606" w:type="dxa"/>
        <w:tblLayout w:type="fixed"/>
        <w:tblLook w:val="04A0" w:firstRow="1" w:lastRow="0" w:firstColumn="1" w:lastColumn="0" w:noHBand="0" w:noVBand="1"/>
      </w:tblPr>
      <w:tblGrid>
        <w:gridCol w:w="5637"/>
        <w:gridCol w:w="1843"/>
        <w:gridCol w:w="284"/>
        <w:gridCol w:w="1842"/>
      </w:tblGrid>
      <w:tr w:rsidR="004F3550" w:rsidRPr="00607022" w:rsidTr="004F3550">
        <w:trPr>
          <w:cantSplit/>
          <w:trHeight w:hRule="exact" w:val="737"/>
        </w:trPr>
        <w:tc>
          <w:tcPr>
            <w:tcW w:w="5637" w:type="dxa"/>
            <w:vAlign w:val="bottom"/>
          </w:tcPr>
          <w:p w:rsidR="004F3550" w:rsidRPr="00607022" w:rsidRDefault="004F3550" w:rsidP="00882370">
            <w:pPr>
              <w:spacing w:after="0" w:line="240" w:lineRule="auto"/>
              <w:rPr>
                <w:rFonts w:ascii="Times New Roman" w:eastAsia="Calibri" w:hAnsi="Times New Roman" w:cs="Times New Roman"/>
                <w:bCs/>
                <w:sz w:val="20"/>
                <w:szCs w:val="20"/>
              </w:rPr>
            </w:pPr>
          </w:p>
        </w:tc>
        <w:tc>
          <w:tcPr>
            <w:tcW w:w="1843" w:type="dxa"/>
            <w:noWrap/>
            <w:vAlign w:val="bottom"/>
          </w:tcPr>
          <w:p w:rsidR="004F3550" w:rsidRPr="00607022" w:rsidRDefault="004F3550" w:rsidP="00882370">
            <w:pPr>
              <w:tabs>
                <w:tab w:val="decimal" w:pos="2073"/>
              </w:tabs>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30 June 201</w:t>
            </w:r>
            <w:r w:rsidR="008F7C64">
              <w:rPr>
                <w:rFonts w:ascii="Times New Roman" w:eastAsia="Calibri" w:hAnsi="Times New Roman" w:cs="Times New Roman"/>
                <w:b/>
                <w:bCs/>
                <w:sz w:val="20"/>
                <w:szCs w:val="20"/>
              </w:rPr>
              <w:t>8</w:t>
            </w:r>
          </w:p>
          <w:p w:rsidR="004F3550" w:rsidRPr="00607022" w:rsidRDefault="004F3550" w:rsidP="00882370">
            <w:pPr>
              <w:tabs>
                <w:tab w:val="decimal" w:pos="2073"/>
              </w:tabs>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w:t>
            </w:r>
          </w:p>
        </w:tc>
        <w:tc>
          <w:tcPr>
            <w:tcW w:w="284" w:type="dxa"/>
            <w:noWrap/>
            <w:vAlign w:val="bottom"/>
          </w:tcPr>
          <w:p w:rsidR="004F3550" w:rsidRPr="00607022" w:rsidRDefault="004F3550" w:rsidP="00882370">
            <w:pPr>
              <w:spacing w:after="0" w:line="240" w:lineRule="auto"/>
              <w:jc w:val="right"/>
              <w:rPr>
                <w:rFonts w:ascii="Times New Roman" w:eastAsia="Calibri" w:hAnsi="Times New Roman" w:cs="Times New Roman"/>
                <w:bCs/>
                <w:sz w:val="20"/>
                <w:szCs w:val="20"/>
              </w:rPr>
            </w:pPr>
          </w:p>
        </w:tc>
        <w:tc>
          <w:tcPr>
            <w:tcW w:w="1842" w:type="dxa"/>
            <w:vAlign w:val="bottom"/>
          </w:tcPr>
          <w:p w:rsidR="004F3550" w:rsidRPr="005A6CAB" w:rsidRDefault="004F3550" w:rsidP="00882370">
            <w:pPr>
              <w:tabs>
                <w:tab w:val="decimal" w:pos="2073"/>
              </w:tabs>
              <w:spacing w:after="0" w:line="240" w:lineRule="auto"/>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30 June 201</w:t>
            </w:r>
            <w:r w:rsidR="008F7C64">
              <w:rPr>
                <w:rFonts w:ascii="Times New Roman" w:eastAsia="Calibri" w:hAnsi="Times New Roman" w:cs="Times New Roman"/>
                <w:bCs/>
                <w:sz w:val="20"/>
                <w:szCs w:val="20"/>
              </w:rPr>
              <w:t>7</w:t>
            </w:r>
          </w:p>
          <w:p w:rsidR="004F3550" w:rsidRPr="005A6CAB" w:rsidRDefault="004F3550" w:rsidP="00882370">
            <w:pPr>
              <w:tabs>
                <w:tab w:val="decimal" w:pos="2073"/>
              </w:tabs>
              <w:spacing w:after="0" w:line="240" w:lineRule="auto"/>
              <w:rPr>
                <w:rFonts w:ascii="Times New Roman" w:eastAsia="Calibri" w:hAnsi="Times New Roman" w:cs="Times New Roman"/>
                <w:bCs/>
                <w:sz w:val="20"/>
                <w:szCs w:val="20"/>
              </w:rPr>
            </w:pPr>
            <w:r w:rsidRPr="005A6CAB">
              <w:rPr>
                <w:rFonts w:ascii="Times New Roman" w:eastAsia="Calibri" w:hAnsi="Times New Roman" w:cs="Times New Roman"/>
                <w:bCs/>
                <w:sz w:val="20"/>
                <w:szCs w:val="20"/>
              </w:rPr>
              <w:t>£</w:t>
            </w:r>
          </w:p>
        </w:tc>
      </w:tr>
      <w:tr w:rsidR="004F3550" w:rsidRPr="00607022" w:rsidTr="004F3550">
        <w:trPr>
          <w:cantSplit/>
          <w:trHeight w:hRule="exact" w:val="284"/>
        </w:trPr>
        <w:tc>
          <w:tcPr>
            <w:tcW w:w="5637" w:type="dxa"/>
            <w:vAlign w:val="bottom"/>
          </w:tcPr>
          <w:p w:rsidR="004F3550" w:rsidRPr="00607022" w:rsidRDefault="004F3550" w:rsidP="00882370">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Non-current assets</w:t>
            </w:r>
          </w:p>
        </w:tc>
        <w:tc>
          <w:tcPr>
            <w:tcW w:w="1843" w:type="dxa"/>
          </w:tcPr>
          <w:p w:rsidR="004F3550" w:rsidRPr="00607022" w:rsidRDefault="004F3550" w:rsidP="00882370">
            <w:pPr>
              <w:spacing w:after="0" w:line="240" w:lineRule="auto"/>
              <w:jc w:val="right"/>
              <w:rPr>
                <w:rFonts w:ascii="Times New Roman" w:eastAsia="Calibri" w:hAnsi="Times New Roman" w:cs="Times New Roman"/>
                <w:b/>
                <w:bCs/>
                <w:sz w:val="20"/>
                <w:szCs w:val="20"/>
              </w:rPr>
            </w:pPr>
          </w:p>
        </w:tc>
        <w:tc>
          <w:tcPr>
            <w:tcW w:w="284" w:type="dxa"/>
          </w:tcPr>
          <w:p w:rsidR="004F3550" w:rsidRPr="00607022" w:rsidRDefault="004F3550" w:rsidP="00882370">
            <w:pPr>
              <w:spacing w:after="0" w:line="240" w:lineRule="auto"/>
              <w:jc w:val="right"/>
              <w:rPr>
                <w:rFonts w:ascii="Times New Roman" w:eastAsia="Calibri" w:hAnsi="Times New Roman" w:cs="Times New Roman"/>
                <w:bCs/>
                <w:sz w:val="20"/>
                <w:szCs w:val="20"/>
              </w:rPr>
            </w:pPr>
          </w:p>
        </w:tc>
        <w:tc>
          <w:tcPr>
            <w:tcW w:w="1842" w:type="dxa"/>
          </w:tcPr>
          <w:p w:rsidR="004F3550" w:rsidRPr="005A6CAB" w:rsidRDefault="004F3550" w:rsidP="00882370">
            <w:pPr>
              <w:spacing w:after="0" w:line="240" w:lineRule="auto"/>
              <w:jc w:val="right"/>
              <w:rPr>
                <w:rFonts w:ascii="Times New Roman" w:eastAsia="Calibri" w:hAnsi="Times New Roman" w:cs="Times New Roman"/>
                <w:bCs/>
                <w:sz w:val="20"/>
                <w:szCs w:val="20"/>
              </w:rPr>
            </w:pPr>
          </w:p>
        </w:tc>
      </w:tr>
      <w:tr w:rsidR="008F7C64" w:rsidRPr="00607022" w:rsidTr="00361109">
        <w:trPr>
          <w:cantSplit/>
          <w:trHeight w:hRule="exact" w:val="284"/>
        </w:trPr>
        <w:tc>
          <w:tcPr>
            <w:tcW w:w="5637" w:type="dxa"/>
            <w:vAlign w:val="center"/>
          </w:tcPr>
          <w:p w:rsidR="008F7C64" w:rsidRPr="00607022" w:rsidRDefault="008F7C64" w:rsidP="00512AF5">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Property</w:t>
            </w:r>
          </w:p>
        </w:tc>
        <w:tc>
          <w:tcPr>
            <w:tcW w:w="1843" w:type="dxa"/>
            <w:vAlign w:val="center"/>
          </w:tcPr>
          <w:p w:rsidR="008F7C64" w:rsidRPr="00607022" w:rsidRDefault="00512AF5" w:rsidP="008F7C64">
            <w:pPr>
              <w:tabs>
                <w:tab w:val="right" w:pos="1485"/>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1,950,000</w:t>
            </w: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vAlign w:val="center"/>
          </w:tcPr>
          <w:p w:rsidR="008F7C64" w:rsidRPr="006B474A" w:rsidRDefault="00512AF5" w:rsidP="008F7C64">
            <w:pPr>
              <w:tabs>
                <w:tab w:val="right" w:pos="1485"/>
              </w:tabs>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551,899</w:t>
            </w:r>
          </w:p>
        </w:tc>
      </w:tr>
      <w:tr w:rsidR="00512AF5" w:rsidRPr="00607022" w:rsidTr="00361109">
        <w:trPr>
          <w:cantSplit/>
          <w:trHeight w:hRule="exact" w:val="284"/>
        </w:trPr>
        <w:tc>
          <w:tcPr>
            <w:tcW w:w="5637" w:type="dxa"/>
            <w:vAlign w:val="center"/>
          </w:tcPr>
          <w:p w:rsidR="00512AF5" w:rsidRPr="00607022" w:rsidRDefault="00512AF5" w:rsidP="008F7C64">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Plant and equipment</w:t>
            </w:r>
          </w:p>
        </w:tc>
        <w:tc>
          <w:tcPr>
            <w:tcW w:w="1843" w:type="dxa"/>
            <w:vAlign w:val="center"/>
          </w:tcPr>
          <w:p w:rsidR="00512AF5" w:rsidRDefault="00512AF5" w:rsidP="008F7C64">
            <w:pPr>
              <w:tabs>
                <w:tab w:val="right" w:pos="1485"/>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55,207</w:t>
            </w:r>
          </w:p>
        </w:tc>
        <w:tc>
          <w:tcPr>
            <w:tcW w:w="284" w:type="dxa"/>
          </w:tcPr>
          <w:p w:rsidR="00512AF5" w:rsidRPr="00607022" w:rsidRDefault="00512AF5" w:rsidP="008F7C64">
            <w:pPr>
              <w:spacing w:after="0" w:line="240" w:lineRule="auto"/>
              <w:jc w:val="right"/>
              <w:rPr>
                <w:rFonts w:ascii="Times New Roman" w:eastAsia="Calibri" w:hAnsi="Times New Roman" w:cs="Times New Roman"/>
                <w:bCs/>
                <w:sz w:val="20"/>
                <w:szCs w:val="20"/>
              </w:rPr>
            </w:pPr>
          </w:p>
        </w:tc>
        <w:tc>
          <w:tcPr>
            <w:tcW w:w="1842" w:type="dxa"/>
            <w:vAlign w:val="center"/>
          </w:tcPr>
          <w:p w:rsidR="00512AF5" w:rsidRPr="006B474A" w:rsidRDefault="00512AF5" w:rsidP="008F7C64">
            <w:pPr>
              <w:tabs>
                <w:tab w:val="right" w:pos="1485"/>
              </w:tabs>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59,348</w:t>
            </w:r>
          </w:p>
        </w:tc>
      </w:tr>
      <w:tr w:rsidR="008F7C64" w:rsidRPr="00607022" w:rsidTr="00361109">
        <w:trPr>
          <w:cantSplit/>
          <w:trHeight w:hRule="exact" w:val="284"/>
        </w:trPr>
        <w:tc>
          <w:tcPr>
            <w:tcW w:w="5637" w:type="dxa"/>
            <w:vAlign w:val="center"/>
          </w:tcPr>
          <w:p w:rsidR="008F7C64" w:rsidRPr="00607022" w:rsidRDefault="008F7C64" w:rsidP="008F7C64">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Investment in artwork</w:t>
            </w:r>
          </w:p>
        </w:tc>
        <w:tc>
          <w:tcPr>
            <w:tcW w:w="1843" w:type="dxa"/>
            <w:vAlign w:val="center"/>
          </w:tcPr>
          <w:p w:rsidR="008F7C64" w:rsidRPr="00607022" w:rsidRDefault="00512AF5" w:rsidP="008F7C64">
            <w:pPr>
              <w:tabs>
                <w:tab w:val="right" w:pos="1485"/>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vAlign w:val="center"/>
          </w:tcPr>
          <w:p w:rsidR="008F7C64" w:rsidRPr="006B474A" w:rsidRDefault="008F7C64" w:rsidP="008F7C64">
            <w:pPr>
              <w:tabs>
                <w:tab w:val="right" w:pos="1485"/>
              </w:tabs>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500,000</w:t>
            </w:r>
          </w:p>
        </w:tc>
      </w:tr>
      <w:tr w:rsidR="008F7C64" w:rsidRPr="00607022" w:rsidTr="00361109">
        <w:trPr>
          <w:cantSplit/>
          <w:trHeight w:hRule="exact" w:val="284"/>
        </w:trPr>
        <w:tc>
          <w:tcPr>
            <w:tcW w:w="5637" w:type="dxa"/>
            <w:vAlign w:val="center"/>
          </w:tcPr>
          <w:p w:rsidR="008F7C64" w:rsidRPr="00607022" w:rsidRDefault="008F7C64" w:rsidP="008F7C64">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Intangible asset</w:t>
            </w:r>
          </w:p>
        </w:tc>
        <w:tc>
          <w:tcPr>
            <w:tcW w:w="1843" w:type="dxa"/>
            <w:vAlign w:val="center"/>
          </w:tcPr>
          <w:p w:rsidR="008F7C64" w:rsidRPr="00607022" w:rsidRDefault="00512AF5" w:rsidP="008F7C64">
            <w:pPr>
              <w:tabs>
                <w:tab w:val="right" w:pos="1485"/>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vAlign w:val="center"/>
          </w:tcPr>
          <w:p w:rsidR="008F7C64" w:rsidRPr="006B474A" w:rsidRDefault="008F7C64" w:rsidP="008F7C64">
            <w:pPr>
              <w:tabs>
                <w:tab w:val="right" w:pos="1485"/>
              </w:tabs>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18,400</w:t>
            </w:r>
          </w:p>
        </w:tc>
      </w:tr>
      <w:tr w:rsidR="008F7C64" w:rsidRPr="00607022" w:rsidTr="00361109">
        <w:trPr>
          <w:cantSplit/>
          <w:trHeight w:hRule="exact" w:val="284"/>
        </w:trPr>
        <w:tc>
          <w:tcPr>
            <w:tcW w:w="5637" w:type="dxa"/>
          </w:tcPr>
          <w:p w:rsidR="008F7C64" w:rsidRPr="00607022" w:rsidRDefault="008F7C64" w:rsidP="008F7C64">
            <w:pPr>
              <w:spacing w:after="0" w:line="240" w:lineRule="auto"/>
              <w:rPr>
                <w:rFonts w:ascii="Times New Roman" w:eastAsia="Calibri" w:hAnsi="Times New Roman" w:cs="Times New Roman"/>
                <w:bCs/>
                <w:sz w:val="20"/>
                <w:szCs w:val="20"/>
              </w:rPr>
            </w:pPr>
          </w:p>
        </w:tc>
        <w:tc>
          <w:tcPr>
            <w:tcW w:w="1843" w:type="dxa"/>
            <w:tcBorders>
              <w:top w:val="single" w:sz="4" w:space="0" w:color="000000"/>
              <w:bottom w:val="single" w:sz="4" w:space="0" w:color="000000"/>
            </w:tcBorders>
            <w:vAlign w:val="center"/>
          </w:tcPr>
          <w:p w:rsidR="008F7C64" w:rsidRPr="00607022" w:rsidRDefault="00512AF5" w:rsidP="008F7C64">
            <w:pPr>
              <w:tabs>
                <w:tab w:val="right" w:pos="1627"/>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2,005,207</w:t>
            </w:r>
          </w:p>
        </w:tc>
        <w:tc>
          <w:tcPr>
            <w:tcW w:w="284" w:type="dxa"/>
            <w:vAlign w:val="center"/>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4" w:space="0" w:color="000000"/>
            </w:tcBorders>
            <w:vAlign w:val="center"/>
          </w:tcPr>
          <w:p w:rsidR="008F7C64" w:rsidRPr="006B474A" w:rsidRDefault="008F7C64" w:rsidP="008F7C64">
            <w:pPr>
              <w:tabs>
                <w:tab w:val="right" w:pos="1627"/>
              </w:tabs>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1,129,647</w:t>
            </w:r>
          </w:p>
        </w:tc>
      </w:tr>
      <w:tr w:rsidR="008F7C64" w:rsidRPr="00607022" w:rsidTr="00361109">
        <w:trPr>
          <w:cantSplit/>
          <w:trHeight w:hRule="exact" w:val="284"/>
        </w:trPr>
        <w:tc>
          <w:tcPr>
            <w:tcW w:w="5637" w:type="dxa"/>
            <w:vAlign w:val="bottom"/>
          </w:tcPr>
          <w:p w:rsidR="008F7C64" w:rsidRPr="00607022" w:rsidRDefault="008F7C64" w:rsidP="008F7C64">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Current assets</w:t>
            </w:r>
          </w:p>
        </w:tc>
        <w:tc>
          <w:tcPr>
            <w:tcW w:w="1843" w:type="dxa"/>
            <w:tcBorders>
              <w:top w:val="single" w:sz="4" w:space="0" w:color="000000"/>
            </w:tcBorders>
          </w:tcPr>
          <w:p w:rsidR="008F7C64" w:rsidRPr="00607022" w:rsidRDefault="008F7C64" w:rsidP="008F7C64">
            <w:pPr>
              <w:spacing w:after="0" w:line="240" w:lineRule="auto"/>
              <w:jc w:val="right"/>
              <w:rPr>
                <w:rFonts w:ascii="Times New Roman" w:eastAsia="Calibri" w:hAnsi="Times New Roman" w:cs="Times New Roman"/>
                <w:b/>
                <w:bCs/>
                <w:sz w:val="20"/>
                <w:szCs w:val="20"/>
              </w:rPr>
            </w:pP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tcBorders>
          </w:tcPr>
          <w:p w:rsidR="008F7C64" w:rsidRPr="00607022" w:rsidRDefault="008F7C64" w:rsidP="008F7C64">
            <w:pPr>
              <w:spacing w:after="0" w:line="240" w:lineRule="auto"/>
              <w:jc w:val="right"/>
              <w:rPr>
                <w:rFonts w:ascii="Times New Roman" w:eastAsia="Calibri" w:hAnsi="Times New Roman" w:cs="Times New Roman"/>
                <w:b/>
                <w:bCs/>
                <w:sz w:val="20"/>
                <w:szCs w:val="20"/>
              </w:rPr>
            </w:pPr>
          </w:p>
        </w:tc>
      </w:tr>
      <w:tr w:rsidR="00512AF5" w:rsidRPr="00607022" w:rsidTr="004F3550">
        <w:trPr>
          <w:cantSplit/>
          <w:trHeight w:hRule="exact" w:val="284"/>
        </w:trPr>
        <w:tc>
          <w:tcPr>
            <w:tcW w:w="5637" w:type="dxa"/>
            <w:vAlign w:val="center"/>
          </w:tcPr>
          <w:p w:rsidR="00512AF5" w:rsidRPr="00607022" w:rsidRDefault="00512AF5" w:rsidP="008F7C64">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Investment in artwork held for resale</w:t>
            </w:r>
          </w:p>
        </w:tc>
        <w:tc>
          <w:tcPr>
            <w:tcW w:w="1843" w:type="dxa"/>
          </w:tcPr>
          <w:p w:rsidR="00512AF5" w:rsidRDefault="00512AF5" w:rsidP="008F7C64">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250,000</w:t>
            </w:r>
          </w:p>
        </w:tc>
        <w:tc>
          <w:tcPr>
            <w:tcW w:w="284" w:type="dxa"/>
          </w:tcPr>
          <w:p w:rsidR="00512AF5" w:rsidRPr="00607022" w:rsidRDefault="00512AF5" w:rsidP="008F7C64">
            <w:pPr>
              <w:spacing w:after="0" w:line="240" w:lineRule="auto"/>
              <w:jc w:val="right"/>
              <w:rPr>
                <w:rFonts w:ascii="Times New Roman" w:eastAsia="Calibri" w:hAnsi="Times New Roman" w:cs="Times New Roman"/>
                <w:bCs/>
                <w:sz w:val="20"/>
                <w:szCs w:val="20"/>
              </w:rPr>
            </w:pPr>
          </w:p>
        </w:tc>
        <w:tc>
          <w:tcPr>
            <w:tcW w:w="1842" w:type="dxa"/>
          </w:tcPr>
          <w:p w:rsidR="00512AF5" w:rsidRDefault="00512AF5" w:rsidP="008F7C64">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8F7C64" w:rsidRPr="00607022" w:rsidTr="004F3550">
        <w:trPr>
          <w:cantSplit/>
          <w:trHeight w:hRule="exact" w:val="284"/>
        </w:trPr>
        <w:tc>
          <w:tcPr>
            <w:tcW w:w="5637" w:type="dxa"/>
            <w:vAlign w:val="center"/>
          </w:tcPr>
          <w:p w:rsidR="008F7C64" w:rsidRPr="00607022" w:rsidRDefault="008F7C64" w:rsidP="008F7C64">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Trade and other receivables</w:t>
            </w:r>
          </w:p>
        </w:tc>
        <w:tc>
          <w:tcPr>
            <w:tcW w:w="1843" w:type="dxa"/>
          </w:tcPr>
          <w:p w:rsidR="008F7C64" w:rsidRPr="00607022" w:rsidRDefault="00512AF5" w:rsidP="008F7C64">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562,335</w:t>
            </w: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Pr>
          <w:p w:rsidR="008F7C64" w:rsidRPr="006B474A" w:rsidRDefault="008F7C64" w:rsidP="008F7C64">
            <w:pPr>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818,216</w:t>
            </w:r>
          </w:p>
        </w:tc>
      </w:tr>
      <w:tr w:rsidR="008F7C64" w:rsidRPr="00607022" w:rsidTr="004F3550">
        <w:trPr>
          <w:cantSplit/>
          <w:trHeight w:hRule="exact" w:val="284"/>
        </w:trPr>
        <w:tc>
          <w:tcPr>
            <w:tcW w:w="5637" w:type="dxa"/>
            <w:vAlign w:val="center"/>
          </w:tcPr>
          <w:p w:rsidR="008F7C64" w:rsidRPr="00607022" w:rsidRDefault="008F7C64" w:rsidP="008F7C64">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Investments held at fair v</w:t>
            </w:r>
            <w:r>
              <w:rPr>
                <w:rFonts w:ascii="Times New Roman" w:eastAsia="Calibri" w:hAnsi="Times New Roman" w:cs="Times New Roman"/>
                <w:bCs/>
                <w:sz w:val="20"/>
                <w:szCs w:val="20"/>
              </w:rPr>
              <w:t>alue through</w:t>
            </w:r>
            <w:r w:rsidRPr="00607022">
              <w:rPr>
                <w:rFonts w:ascii="Times New Roman" w:eastAsia="Calibri" w:hAnsi="Times New Roman" w:cs="Times New Roman"/>
                <w:bCs/>
                <w:sz w:val="20"/>
                <w:szCs w:val="20"/>
              </w:rPr>
              <w:t xml:space="preserve"> profit or loss</w:t>
            </w:r>
          </w:p>
        </w:tc>
        <w:tc>
          <w:tcPr>
            <w:tcW w:w="1843" w:type="dxa"/>
          </w:tcPr>
          <w:p w:rsidR="008F7C64" w:rsidRPr="00607022" w:rsidRDefault="00512AF5" w:rsidP="008F7C64">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55,551,575</w:t>
            </w: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Pr>
          <w:p w:rsidR="008F7C64" w:rsidRPr="006B474A" w:rsidRDefault="008F7C64" w:rsidP="008F7C64">
            <w:pPr>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63,599,004</w:t>
            </w:r>
          </w:p>
        </w:tc>
      </w:tr>
      <w:tr w:rsidR="008F7C64" w:rsidRPr="00607022" w:rsidTr="00361109">
        <w:trPr>
          <w:cantSplit/>
          <w:trHeight w:hRule="exact" w:val="284"/>
        </w:trPr>
        <w:tc>
          <w:tcPr>
            <w:tcW w:w="5637" w:type="dxa"/>
            <w:vAlign w:val="bottom"/>
          </w:tcPr>
          <w:p w:rsidR="008F7C64" w:rsidRPr="00607022" w:rsidRDefault="008F7C64" w:rsidP="008F7C64">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Cash and cash equivalents</w:t>
            </w:r>
          </w:p>
        </w:tc>
        <w:tc>
          <w:tcPr>
            <w:tcW w:w="1843" w:type="dxa"/>
            <w:tcBorders>
              <w:bottom w:val="single" w:sz="4" w:space="0" w:color="000000"/>
            </w:tcBorders>
            <w:vAlign w:val="bottom"/>
          </w:tcPr>
          <w:p w:rsidR="008F7C64" w:rsidRPr="00607022" w:rsidRDefault="00512AF5" w:rsidP="008F7C64">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765,187</w:t>
            </w:r>
          </w:p>
        </w:tc>
        <w:tc>
          <w:tcPr>
            <w:tcW w:w="284" w:type="dxa"/>
            <w:vAlign w:val="bottom"/>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Borders>
              <w:bottom w:val="single" w:sz="4" w:space="0" w:color="000000"/>
            </w:tcBorders>
            <w:vAlign w:val="bottom"/>
          </w:tcPr>
          <w:p w:rsidR="008F7C64" w:rsidRPr="006B474A" w:rsidRDefault="008F7C64" w:rsidP="008F7C64">
            <w:pPr>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913,260</w:t>
            </w:r>
          </w:p>
        </w:tc>
      </w:tr>
      <w:tr w:rsidR="008F7C64" w:rsidRPr="00607022" w:rsidTr="00361109">
        <w:trPr>
          <w:cantSplit/>
          <w:trHeight w:hRule="exact" w:val="555"/>
        </w:trPr>
        <w:tc>
          <w:tcPr>
            <w:tcW w:w="5637" w:type="dxa"/>
          </w:tcPr>
          <w:p w:rsidR="008F7C64" w:rsidRPr="00607022" w:rsidRDefault="008F7C64" w:rsidP="008F7C64">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Total current assets</w:t>
            </w:r>
          </w:p>
        </w:tc>
        <w:tc>
          <w:tcPr>
            <w:tcW w:w="1843" w:type="dxa"/>
            <w:tcBorders>
              <w:top w:val="single" w:sz="4" w:space="0" w:color="000000"/>
            </w:tcBorders>
          </w:tcPr>
          <w:p w:rsidR="008F7C64" w:rsidRPr="00607022" w:rsidRDefault="00512AF5" w:rsidP="008F7C64">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57,129.097</w:t>
            </w: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tcBorders>
          </w:tcPr>
          <w:p w:rsidR="008F7C64" w:rsidRPr="006B474A" w:rsidRDefault="008F7C64" w:rsidP="008F7C64">
            <w:pPr>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65,330,480</w:t>
            </w:r>
          </w:p>
        </w:tc>
      </w:tr>
      <w:tr w:rsidR="008F7C64" w:rsidRPr="00607022" w:rsidTr="004F3550">
        <w:trPr>
          <w:cantSplit/>
          <w:trHeight w:hRule="exact" w:val="284"/>
        </w:trPr>
        <w:tc>
          <w:tcPr>
            <w:tcW w:w="5637" w:type="dxa"/>
            <w:vAlign w:val="bottom"/>
          </w:tcPr>
          <w:p w:rsidR="008F7C64" w:rsidRPr="00607022" w:rsidRDefault="008F7C64" w:rsidP="008F7C64">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Current liabilities</w:t>
            </w:r>
          </w:p>
        </w:tc>
        <w:tc>
          <w:tcPr>
            <w:tcW w:w="1843" w:type="dxa"/>
            <w:vAlign w:val="center"/>
          </w:tcPr>
          <w:p w:rsidR="008F7C64" w:rsidRPr="00607022" w:rsidRDefault="008F7C64" w:rsidP="008F7C64">
            <w:pPr>
              <w:spacing w:after="0" w:line="240" w:lineRule="auto"/>
              <w:jc w:val="right"/>
              <w:rPr>
                <w:rFonts w:ascii="Times New Roman" w:eastAsia="Calibri" w:hAnsi="Times New Roman" w:cs="Times New Roman"/>
                <w:b/>
                <w:bCs/>
                <w:sz w:val="20"/>
                <w:szCs w:val="20"/>
              </w:rPr>
            </w:pPr>
          </w:p>
        </w:tc>
        <w:tc>
          <w:tcPr>
            <w:tcW w:w="284" w:type="dxa"/>
            <w:vAlign w:val="center"/>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vAlign w:val="center"/>
          </w:tcPr>
          <w:p w:rsidR="008F7C64" w:rsidRPr="006B474A" w:rsidRDefault="008F7C64" w:rsidP="008F7C64">
            <w:pPr>
              <w:spacing w:after="0" w:line="240" w:lineRule="auto"/>
              <w:jc w:val="right"/>
              <w:rPr>
                <w:rFonts w:ascii="Times New Roman" w:eastAsia="Calibri" w:hAnsi="Times New Roman" w:cs="Times New Roman"/>
                <w:bCs/>
                <w:sz w:val="20"/>
                <w:szCs w:val="20"/>
              </w:rPr>
            </w:pPr>
          </w:p>
        </w:tc>
      </w:tr>
      <w:tr w:rsidR="008F7C64" w:rsidRPr="00607022" w:rsidTr="004F3550">
        <w:trPr>
          <w:cantSplit/>
          <w:trHeight w:hRule="exact" w:val="284"/>
        </w:trPr>
        <w:tc>
          <w:tcPr>
            <w:tcW w:w="5637" w:type="dxa"/>
            <w:vAlign w:val="center"/>
          </w:tcPr>
          <w:p w:rsidR="008F7C64" w:rsidRPr="00607022" w:rsidRDefault="008F7C64" w:rsidP="008F7C64">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Trade and other payables</w:t>
            </w:r>
          </w:p>
        </w:tc>
        <w:tc>
          <w:tcPr>
            <w:tcW w:w="1843" w:type="dxa"/>
          </w:tcPr>
          <w:p w:rsidR="008F7C64" w:rsidRPr="00607022" w:rsidRDefault="00512AF5" w:rsidP="008F7C64">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914,583</w:t>
            </w: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Pr>
          <w:p w:rsidR="008F7C64" w:rsidRPr="006B474A" w:rsidRDefault="008F7C64" w:rsidP="008F7C64">
            <w:pPr>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567,320</w:t>
            </w:r>
          </w:p>
        </w:tc>
      </w:tr>
      <w:tr w:rsidR="008F7C64" w:rsidRPr="00607022" w:rsidTr="00D825B8">
        <w:trPr>
          <w:cantSplit/>
          <w:trHeight w:hRule="exact" w:val="284"/>
        </w:trPr>
        <w:tc>
          <w:tcPr>
            <w:tcW w:w="5637" w:type="dxa"/>
            <w:vAlign w:val="center"/>
          </w:tcPr>
          <w:p w:rsidR="008F7C64" w:rsidRPr="00607022" w:rsidRDefault="008F7C64" w:rsidP="008F7C64">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Financial liabilities at fair value</w:t>
            </w:r>
            <w:r>
              <w:rPr>
                <w:rFonts w:ascii="Times New Roman" w:eastAsia="Calibri" w:hAnsi="Times New Roman" w:cs="Times New Roman"/>
                <w:bCs/>
                <w:sz w:val="20"/>
                <w:szCs w:val="20"/>
              </w:rPr>
              <w:t xml:space="preserve"> through profit or loss</w:t>
            </w:r>
          </w:p>
        </w:tc>
        <w:tc>
          <w:tcPr>
            <w:tcW w:w="1843" w:type="dxa"/>
          </w:tcPr>
          <w:p w:rsidR="008F7C64" w:rsidRPr="00607022" w:rsidRDefault="00512AF5" w:rsidP="008F7C64">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2,719,192</w:t>
            </w: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Pr>
          <w:p w:rsidR="008F7C64" w:rsidRPr="006B474A" w:rsidRDefault="008F7C64" w:rsidP="008F7C64">
            <w:pPr>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3,094,600</w:t>
            </w:r>
          </w:p>
        </w:tc>
      </w:tr>
      <w:tr w:rsidR="008F7C64" w:rsidRPr="00607022" w:rsidTr="004F3550">
        <w:trPr>
          <w:cantSplit/>
          <w:trHeight w:hRule="exact" w:val="284"/>
        </w:trPr>
        <w:tc>
          <w:tcPr>
            <w:tcW w:w="5637" w:type="dxa"/>
            <w:vAlign w:val="center"/>
          </w:tcPr>
          <w:p w:rsidR="008F7C64" w:rsidRPr="00607022" w:rsidRDefault="008F7C64" w:rsidP="008F7C64">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Current tax liability</w:t>
            </w:r>
          </w:p>
        </w:tc>
        <w:tc>
          <w:tcPr>
            <w:tcW w:w="1843" w:type="dxa"/>
          </w:tcPr>
          <w:p w:rsidR="008F7C64" w:rsidRPr="00607022" w:rsidRDefault="00512AF5" w:rsidP="008F7C64">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240,190</w:t>
            </w: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Pr>
          <w:p w:rsidR="008F7C64" w:rsidRPr="006B474A" w:rsidRDefault="008F7C64" w:rsidP="008F7C64">
            <w:pPr>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716,280</w:t>
            </w:r>
          </w:p>
        </w:tc>
      </w:tr>
      <w:tr w:rsidR="008F7C64" w:rsidRPr="00607022" w:rsidTr="00361109">
        <w:trPr>
          <w:cantSplit/>
          <w:trHeight w:hRule="exact" w:val="283"/>
        </w:trPr>
        <w:tc>
          <w:tcPr>
            <w:tcW w:w="5637" w:type="dxa"/>
            <w:vAlign w:val="center"/>
          </w:tcPr>
          <w:p w:rsidR="008F7C64" w:rsidRPr="00607022" w:rsidRDefault="008F7C64" w:rsidP="008F7C64">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Total current liabilities</w:t>
            </w:r>
          </w:p>
        </w:tc>
        <w:tc>
          <w:tcPr>
            <w:tcW w:w="1843" w:type="dxa"/>
            <w:tcBorders>
              <w:top w:val="single" w:sz="4" w:space="0" w:color="000000"/>
              <w:bottom w:val="single" w:sz="4" w:space="0" w:color="000000"/>
            </w:tcBorders>
            <w:vAlign w:val="center"/>
          </w:tcPr>
          <w:p w:rsidR="008F7C64" w:rsidRPr="00607022" w:rsidRDefault="00512AF5" w:rsidP="008F7C64">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3,873,965</w:t>
            </w:r>
          </w:p>
        </w:tc>
        <w:tc>
          <w:tcPr>
            <w:tcW w:w="284" w:type="dxa"/>
            <w:vAlign w:val="center"/>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4" w:space="0" w:color="000000"/>
            </w:tcBorders>
            <w:vAlign w:val="center"/>
          </w:tcPr>
          <w:p w:rsidR="008F7C64" w:rsidRPr="006B474A" w:rsidRDefault="008F7C64" w:rsidP="008F7C64">
            <w:pPr>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4,378,200</w:t>
            </w:r>
          </w:p>
        </w:tc>
      </w:tr>
      <w:tr w:rsidR="008F7C64" w:rsidRPr="00607022" w:rsidTr="00361109">
        <w:trPr>
          <w:cantSplit/>
          <w:trHeight w:hRule="exact" w:val="289"/>
        </w:trPr>
        <w:tc>
          <w:tcPr>
            <w:tcW w:w="5637" w:type="dxa"/>
            <w:vAlign w:val="center"/>
          </w:tcPr>
          <w:p w:rsidR="008F7C64" w:rsidRPr="00607022" w:rsidRDefault="008F7C64" w:rsidP="008F7C64">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Net current assets</w:t>
            </w:r>
          </w:p>
        </w:tc>
        <w:tc>
          <w:tcPr>
            <w:tcW w:w="1843" w:type="dxa"/>
            <w:tcBorders>
              <w:top w:val="single" w:sz="4" w:space="0" w:color="000000"/>
              <w:bottom w:val="single" w:sz="4" w:space="0" w:color="000000"/>
            </w:tcBorders>
            <w:vAlign w:val="center"/>
          </w:tcPr>
          <w:p w:rsidR="008F7C64" w:rsidRPr="00607022" w:rsidRDefault="00512AF5" w:rsidP="008F7C64">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53,255,132</w:t>
            </w:r>
          </w:p>
        </w:tc>
        <w:tc>
          <w:tcPr>
            <w:tcW w:w="284" w:type="dxa"/>
            <w:vAlign w:val="center"/>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4" w:space="0" w:color="000000"/>
            </w:tcBorders>
            <w:vAlign w:val="center"/>
          </w:tcPr>
          <w:p w:rsidR="008F7C64" w:rsidRPr="006B474A" w:rsidRDefault="008F7C64" w:rsidP="008F7C64">
            <w:pPr>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60,952,280</w:t>
            </w:r>
          </w:p>
        </w:tc>
      </w:tr>
      <w:tr w:rsidR="008F7C64" w:rsidRPr="00607022" w:rsidTr="00361109">
        <w:trPr>
          <w:cantSplit/>
          <w:trHeight w:hRule="exact" w:val="284"/>
        </w:trPr>
        <w:tc>
          <w:tcPr>
            <w:tcW w:w="5637" w:type="dxa"/>
            <w:vAlign w:val="bottom"/>
          </w:tcPr>
          <w:p w:rsidR="008F7C64" w:rsidRPr="00607022" w:rsidRDefault="008F7C64" w:rsidP="008F7C64">
            <w:pPr>
              <w:spacing w:after="0" w:line="240" w:lineRule="auto"/>
              <w:rPr>
                <w:rFonts w:ascii="Times New Roman" w:eastAsia="Calibri" w:hAnsi="Times New Roman" w:cs="Times New Roman"/>
                <w:b/>
                <w:bCs/>
                <w:sz w:val="20"/>
                <w:szCs w:val="20"/>
              </w:rPr>
            </w:pPr>
          </w:p>
        </w:tc>
        <w:tc>
          <w:tcPr>
            <w:tcW w:w="1843" w:type="dxa"/>
            <w:tcBorders>
              <w:top w:val="single" w:sz="4" w:space="0" w:color="000000"/>
            </w:tcBorders>
          </w:tcPr>
          <w:p w:rsidR="008F7C64" w:rsidRPr="00607022" w:rsidRDefault="008F7C64" w:rsidP="008F7C64">
            <w:pPr>
              <w:spacing w:after="0" w:line="240" w:lineRule="auto"/>
              <w:jc w:val="right"/>
              <w:rPr>
                <w:rFonts w:ascii="Times New Roman" w:eastAsia="Calibri" w:hAnsi="Times New Roman" w:cs="Times New Roman"/>
                <w:b/>
                <w:bCs/>
                <w:sz w:val="20"/>
                <w:szCs w:val="20"/>
              </w:rPr>
            </w:pP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tcBorders>
          </w:tcPr>
          <w:p w:rsidR="008F7C64" w:rsidRPr="00607022" w:rsidRDefault="008F7C64" w:rsidP="008F7C64">
            <w:pPr>
              <w:spacing w:after="0" w:line="240" w:lineRule="auto"/>
              <w:jc w:val="right"/>
              <w:rPr>
                <w:rFonts w:ascii="Times New Roman" w:eastAsia="Calibri" w:hAnsi="Times New Roman" w:cs="Times New Roman"/>
                <w:b/>
                <w:bCs/>
                <w:sz w:val="20"/>
                <w:szCs w:val="20"/>
              </w:rPr>
            </w:pPr>
          </w:p>
        </w:tc>
      </w:tr>
      <w:tr w:rsidR="008F7C64" w:rsidRPr="00607022" w:rsidTr="004F3550">
        <w:trPr>
          <w:cantSplit/>
          <w:trHeight w:hRule="exact" w:val="284"/>
        </w:trPr>
        <w:tc>
          <w:tcPr>
            <w:tcW w:w="5637" w:type="dxa"/>
            <w:vAlign w:val="bottom"/>
          </w:tcPr>
          <w:p w:rsidR="008F7C64" w:rsidRPr="00607022" w:rsidRDefault="008F7C64" w:rsidP="008F7C64">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Non-current liabilities</w:t>
            </w:r>
          </w:p>
        </w:tc>
        <w:tc>
          <w:tcPr>
            <w:tcW w:w="1843" w:type="dxa"/>
          </w:tcPr>
          <w:p w:rsidR="008F7C64" w:rsidRPr="00607022" w:rsidRDefault="008F7C64" w:rsidP="008F7C64">
            <w:pPr>
              <w:spacing w:after="0" w:line="240" w:lineRule="auto"/>
              <w:jc w:val="right"/>
              <w:rPr>
                <w:rFonts w:ascii="Times New Roman" w:eastAsia="Calibri" w:hAnsi="Times New Roman" w:cs="Times New Roman"/>
                <w:b/>
                <w:bCs/>
                <w:sz w:val="20"/>
                <w:szCs w:val="20"/>
              </w:rPr>
            </w:pP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Pr>
          <w:p w:rsidR="008F7C64" w:rsidRPr="00607022" w:rsidRDefault="008F7C64" w:rsidP="008F7C64">
            <w:pPr>
              <w:spacing w:after="0" w:line="240" w:lineRule="auto"/>
              <w:jc w:val="right"/>
              <w:rPr>
                <w:rFonts w:ascii="Times New Roman" w:eastAsia="Calibri" w:hAnsi="Times New Roman" w:cs="Times New Roman"/>
                <w:b/>
                <w:bCs/>
                <w:sz w:val="20"/>
                <w:szCs w:val="20"/>
              </w:rPr>
            </w:pPr>
          </w:p>
        </w:tc>
      </w:tr>
      <w:tr w:rsidR="008F7C64" w:rsidRPr="00607022" w:rsidTr="00210983">
        <w:trPr>
          <w:cantSplit/>
          <w:trHeight w:hRule="exact" w:val="284"/>
        </w:trPr>
        <w:tc>
          <w:tcPr>
            <w:tcW w:w="5637" w:type="dxa"/>
            <w:vAlign w:val="bottom"/>
          </w:tcPr>
          <w:p w:rsidR="008F7C64" w:rsidRPr="00607022" w:rsidRDefault="008F7C64" w:rsidP="008F7C64">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Borrowings</w:t>
            </w:r>
          </w:p>
        </w:tc>
        <w:tc>
          <w:tcPr>
            <w:tcW w:w="1843" w:type="dxa"/>
            <w:vAlign w:val="bottom"/>
          </w:tcPr>
          <w:p w:rsidR="008F7C64" w:rsidRPr="00607022" w:rsidRDefault="006D347A" w:rsidP="008F7C64">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c>
          <w:tcPr>
            <w:tcW w:w="284" w:type="dxa"/>
            <w:vAlign w:val="bottom"/>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vAlign w:val="bottom"/>
          </w:tcPr>
          <w:p w:rsidR="008F7C64" w:rsidRPr="006B474A" w:rsidRDefault="008F7C64" w:rsidP="008F7C64">
            <w:pPr>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4,600,000</w:t>
            </w:r>
          </w:p>
        </w:tc>
      </w:tr>
      <w:tr w:rsidR="008F7C64" w:rsidRPr="00607022" w:rsidTr="00361109">
        <w:trPr>
          <w:cantSplit/>
          <w:trHeight w:hRule="exact" w:val="284"/>
        </w:trPr>
        <w:tc>
          <w:tcPr>
            <w:tcW w:w="5637" w:type="dxa"/>
            <w:vAlign w:val="bottom"/>
          </w:tcPr>
          <w:p w:rsidR="008F7C64" w:rsidRPr="00607022" w:rsidRDefault="008F7C64" w:rsidP="008F7C64">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Deferred tax liabilities</w:t>
            </w:r>
          </w:p>
        </w:tc>
        <w:tc>
          <w:tcPr>
            <w:tcW w:w="1843" w:type="dxa"/>
            <w:tcBorders>
              <w:bottom w:val="single" w:sz="4" w:space="0" w:color="000000"/>
            </w:tcBorders>
            <w:vAlign w:val="bottom"/>
          </w:tcPr>
          <w:p w:rsidR="008F7C64" w:rsidRPr="00607022" w:rsidRDefault="008F7C64" w:rsidP="006D347A">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1,</w:t>
            </w:r>
            <w:r w:rsidR="006D347A">
              <w:rPr>
                <w:rFonts w:ascii="Times New Roman" w:eastAsia="Calibri" w:hAnsi="Times New Roman" w:cs="Times New Roman"/>
                <w:b/>
                <w:bCs/>
                <w:sz w:val="20"/>
                <w:szCs w:val="20"/>
              </w:rPr>
              <w:t>591,404</w:t>
            </w:r>
          </w:p>
        </w:tc>
        <w:tc>
          <w:tcPr>
            <w:tcW w:w="284" w:type="dxa"/>
            <w:vAlign w:val="bottom"/>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Borders>
              <w:bottom w:val="single" w:sz="4" w:space="0" w:color="000000"/>
            </w:tcBorders>
            <w:vAlign w:val="bottom"/>
          </w:tcPr>
          <w:p w:rsidR="008F7C64" w:rsidRPr="006B474A" w:rsidRDefault="008F7C64" w:rsidP="008F7C64">
            <w:pPr>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1,801,197</w:t>
            </w:r>
          </w:p>
        </w:tc>
      </w:tr>
      <w:tr w:rsidR="008F7C64" w:rsidRPr="00607022" w:rsidTr="00361109">
        <w:trPr>
          <w:cantSplit/>
          <w:trHeight w:hRule="exact" w:val="281"/>
        </w:trPr>
        <w:tc>
          <w:tcPr>
            <w:tcW w:w="5637" w:type="dxa"/>
            <w:vAlign w:val="center"/>
          </w:tcPr>
          <w:p w:rsidR="008F7C64" w:rsidRPr="00607022" w:rsidRDefault="008F7C64" w:rsidP="008F7C64">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Total non-current liabilities</w:t>
            </w:r>
          </w:p>
        </w:tc>
        <w:tc>
          <w:tcPr>
            <w:tcW w:w="1843" w:type="dxa"/>
            <w:tcBorders>
              <w:top w:val="single" w:sz="4" w:space="0" w:color="000000"/>
              <w:bottom w:val="single" w:sz="4" w:space="0" w:color="000000"/>
            </w:tcBorders>
            <w:vAlign w:val="center"/>
          </w:tcPr>
          <w:p w:rsidR="008F7C64" w:rsidRPr="00607022" w:rsidRDefault="006D347A" w:rsidP="008F7C64">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1,591,404</w:t>
            </w:r>
          </w:p>
        </w:tc>
        <w:tc>
          <w:tcPr>
            <w:tcW w:w="284" w:type="dxa"/>
            <w:vAlign w:val="center"/>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4" w:space="0" w:color="000000"/>
            </w:tcBorders>
            <w:vAlign w:val="center"/>
          </w:tcPr>
          <w:p w:rsidR="008F7C64" w:rsidRPr="006B474A" w:rsidRDefault="008F7C64" w:rsidP="008F7C64">
            <w:pPr>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6,401,197</w:t>
            </w:r>
          </w:p>
        </w:tc>
      </w:tr>
      <w:tr w:rsidR="008F7C64" w:rsidRPr="00607022" w:rsidTr="00361109">
        <w:trPr>
          <w:cantSplit/>
          <w:trHeight w:hRule="exact" w:val="284"/>
        </w:trPr>
        <w:tc>
          <w:tcPr>
            <w:tcW w:w="5637" w:type="dxa"/>
            <w:vAlign w:val="center"/>
          </w:tcPr>
          <w:p w:rsidR="008F7C64" w:rsidRPr="00607022" w:rsidRDefault="008F7C64" w:rsidP="008F7C64">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Net assets</w:t>
            </w:r>
          </w:p>
        </w:tc>
        <w:tc>
          <w:tcPr>
            <w:tcW w:w="1843" w:type="dxa"/>
            <w:tcBorders>
              <w:top w:val="single" w:sz="4" w:space="0" w:color="000000"/>
              <w:bottom w:val="single" w:sz="12" w:space="0" w:color="000000"/>
            </w:tcBorders>
          </w:tcPr>
          <w:p w:rsidR="008F7C64" w:rsidRPr="00607022" w:rsidRDefault="006D347A" w:rsidP="008F7C64">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53,668,935</w:t>
            </w: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12" w:space="0" w:color="000000"/>
            </w:tcBorders>
          </w:tcPr>
          <w:p w:rsidR="008F7C64" w:rsidRPr="006B474A" w:rsidRDefault="008F7C64" w:rsidP="008F7C64">
            <w:pPr>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55,680,730</w:t>
            </w:r>
          </w:p>
        </w:tc>
      </w:tr>
      <w:tr w:rsidR="008F7C64" w:rsidRPr="00607022" w:rsidTr="00287877">
        <w:trPr>
          <w:cantSplit/>
          <w:trHeight w:hRule="exact" w:val="284"/>
        </w:trPr>
        <w:tc>
          <w:tcPr>
            <w:tcW w:w="5637" w:type="dxa"/>
            <w:vAlign w:val="bottom"/>
          </w:tcPr>
          <w:p w:rsidR="008F7C64" w:rsidRPr="00607022" w:rsidRDefault="008F7C64" w:rsidP="008F7C64">
            <w:pPr>
              <w:spacing w:after="0" w:line="240" w:lineRule="auto"/>
              <w:rPr>
                <w:rFonts w:ascii="Times New Roman" w:eastAsia="Calibri" w:hAnsi="Times New Roman" w:cs="Times New Roman"/>
                <w:b/>
                <w:bCs/>
                <w:sz w:val="20"/>
                <w:szCs w:val="20"/>
              </w:rPr>
            </w:pPr>
          </w:p>
        </w:tc>
        <w:tc>
          <w:tcPr>
            <w:tcW w:w="1843" w:type="dxa"/>
            <w:tcBorders>
              <w:top w:val="single" w:sz="4" w:space="0" w:color="000000"/>
            </w:tcBorders>
          </w:tcPr>
          <w:p w:rsidR="008F7C64" w:rsidRPr="00607022" w:rsidRDefault="008F7C64" w:rsidP="008F7C64">
            <w:pPr>
              <w:spacing w:after="0" w:line="240" w:lineRule="auto"/>
              <w:jc w:val="right"/>
              <w:rPr>
                <w:rFonts w:ascii="Times New Roman" w:eastAsia="Calibri" w:hAnsi="Times New Roman" w:cs="Times New Roman"/>
                <w:b/>
                <w:bCs/>
                <w:sz w:val="20"/>
                <w:szCs w:val="20"/>
              </w:rPr>
            </w:pP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tcBorders>
          </w:tcPr>
          <w:p w:rsidR="008F7C64" w:rsidRPr="006B474A" w:rsidRDefault="008F7C64" w:rsidP="008F7C64">
            <w:pPr>
              <w:spacing w:after="0" w:line="240" w:lineRule="auto"/>
              <w:jc w:val="right"/>
              <w:rPr>
                <w:rFonts w:ascii="Times New Roman" w:eastAsia="Calibri" w:hAnsi="Times New Roman" w:cs="Times New Roman"/>
                <w:bCs/>
                <w:sz w:val="20"/>
                <w:szCs w:val="20"/>
              </w:rPr>
            </w:pPr>
          </w:p>
        </w:tc>
      </w:tr>
      <w:tr w:rsidR="008F7C64" w:rsidRPr="00607022" w:rsidTr="004F3550">
        <w:trPr>
          <w:cantSplit/>
          <w:trHeight w:hRule="exact" w:val="284"/>
        </w:trPr>
        <w:tc>
          <w:tcPr>
            <w:tcW w:w="5637" w:type="dxa"/>
            <w:vAlign w:val="bottom"/>
          </w:tcPr>
          <w:p w:rsidR="008F7C64" w:rsidRPr="00607022" w:rsidRDefault="008F7C64" w:rsidP="008F7C64">
            <w:pPr>
              <w:autoSpaceDE w:val="0"/>
              <w:autoSpaceDN w:val="0"/>
              <w:adjustRightInd w:val="0"/>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Capital and reserves attributable to equity holders</w:t>
            </w:r>
          </w:p>
        </w:tc>
        <w:tc>
          <w:tcPr>
            <w:tcW w:w="1843" w:type="dxa"/>
          </w:tcPr>
          <w:p w:rsidR="008F7C64" w:rsidRPr="00607022" w:rsidRDefault="008F7C64" w:rsidP="008F7C64">
            <w:pPr>
              <w:spacing w:after="0" w:line="240" w:lineRule="auto"/>
              <w:jc w:val="right"/>
              <w:rPr>
                <w:rFonts w:ascii="Times New Roman" w:eastAsia="Calibri" w:hAnsi="Times New Roman" w:cs="Times New Roman"/>
                <w:b/>
                <w:bCs/>
                <w:sz w:val="20"/>
                <w:szCs w:val="20"/>
              </w:rPr>
            </w:pP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Pr>
          <w:p w:rsidR="008F7C64" w:rsidRPr="006B474A" w:rsidRDefault="008F7C64" w:rsidP="008F7C64">
            <w:pPr>
              <w:spacing w:after="0" w:line="240" w:lineRule="auto"/>
              <w:jc w:val="right"/>
              <w:rPr>
                <w:rFonts w:ascii="Times New Roman" w:eastAsia="Calibri" w:hAnsi="Times New Roman" w:cs="Times New Roman"/>
                <w:bCs/>
                <w:sz w:val="20"/>
                <w:szCs w:val="20"/>
              </w:rPr>
            </w:pPr>
          </w:p>
        </w:tc>
      </w:tr>
      <w:tr w:rsidR="008F7C64" w:rsidRPr="00607022" w:rsidTr="004F3550">
        <w:trPr>
          <w:cantSplit/>
          <w:trHeight w:hRule="exact" w:val="549"/>
        </w:trPr>
        <w:tc>
          <w:tcPr>
            <w:tcW w:w="5637" w:type="dxa"/>
            <w:vAlign w:val="center"/>
          </w:tcPr>
          <w:p w:rsidR="008F7C64" w:rsidRPr="00607022" w:rsidRDefault="008F7C64" w:rsidP="008F7C64">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Share capital</w:t>
            </w:r>
          </w:p>
        </w:tc>
        <w:tc>
          <w:tcPr>
            <w:tcW w:w="1843" w:type="dxa"/>
          </w:tcPr>
          <w:p w:rsidR="008F7C64" w:rsidRPr="00607022" w:rsidRDefault="008F7C64" w:rsidP="008F7C64">
            <w:pPr>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434,906</w:t>
            </w: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Pr>
          <w:p w:rsidR="008F7C64" w:rsidRPr="006B474A" w:rsidRDefault="008F7C64" w:rsidP="008F7C64">
            <w:pPr>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434,906</w:t>
            </w:r>
          </w:p>
        </w:tc>
      </w:tr>
      <w:tr w:rsidR="008F7C64" w:rsidRPr="00607022" w:rsidTr="004F3550">
        <w:trPr>
          <w:cantSplit/>
          <w:trHeight w:hRule="exact" w:val="284"/>
        </w:trPr>
        <w:tc>
          <w:tcPr>
            <w:tcW w:w="5637" w:type="dxa"/>
            <w:vAlign w:val="center"/>
          </w:tcPr>
          <w:p w:rsidR="008F7C64" w:rsidRPr="00607022" w:rsidRDefault="008F7C64" w:rsidP="008F7C64">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Reserves</w:t>
            </w:r>
          </w:p>
        </w:tc>
        <w:tc>
          <w:tcPr>
            <w:tcW w:w="1843" w:type="dxa"/>
            <w:vAlign w:val="center"/>
          </w:tcPr>
          <w:p w:rsidR="008F7C64" w:rsidRPr="00607022" w:rsidRDefault="008F7C64" w:rsidP="008F7C64">
            <w:pPr>
              <w:tabs>
                <w:tab w:val="decimal" w:pos="1121"/>
              </w:tabs>
              <w:spacing w:after="0" w:line="240" w:lineRule="auto"/>
              <w:jc w:val="right"/>
              <w:rPr>
                <w:rFonts w:ascii="Times New Roman" w:eastAsia="Calibri" w:hAnsi="Times New Roman" w:cs="Times New Roman"/>
                <w:bCs/>
                <w:sz w:val="20"/>
                <w:szCs w:val="20"/>
              </w:rPr>
            </w:pPr>
          </w:p>
        </w:tc>
        <w:tc>
          <w:tcPr>
            <w:tcW w:w="284" w:type="dxa"/>
          </w:tcPr>
          <w:p w:rsidR="008F7C64" w:rsidRPr="00607022" w:rsidRDefault="008F7C64" w:rsidP="008F7C64">
            <w:pPr>
              <w:spacing w:after="0" w:line="240" w:lineRule="auto"/>
              <w:jc w:val="right"/>
              <w:rPr>
                <w:rFonts w:ascii="Times New Roman" w:eastAsia="Calibri" w:hAnsi="Times New Roman" w:cs="Times New Roman"/>
                <w:b/>
                <w:bCs/>
                <w:sz w:val="20"/>
                <w:szCs w:val="20"/>
              </w:rPr>
            </w:pPr>
          </w:p>
        </w:tc>
        <w:tc>
          <w:tcPr>
            <w:tcW w:w="1842" w:type="dxa"/>
            <w:vAlign w:val="center"/>
          </w:tcPr>
          <w:p w:rsidR="008F7C64" w:rsidRPr="006B474A" w:rsidRDefault="008F7C64" w:rsidP="008F7C64">
            <w:pPr>
              <w:tabs>
                <w:tab w:val="decimal" w:pos="1121"/>
              </w:tabs>
              <w:spacing w:after="0" w:line="240" w:lineRule="auto"/>
              <w:jc w:val="right"/>
              <w:rPr>
                <w:rFonts w:ascii="Times New Roman" w:eastAsia="Calibri" w:hAnsi="Times New Roman" w:cs="Times New Roman"/>
                <w:bCs/>
                <w:sz w:val="20"/>
                <w:szCs w:val="20"/>
              </w:rPr>
            </w:pPr>
          </w:p>
        </w:tc>
      </w:tr>
      <w:tr w:rsidR="008F7C64" w:rsidRPr="00607022" w:rsidTr="004F3550">
        <w:trPr>
          <w:cantSplit/>
          <w:trHeight w:hRule="exact" w:val="284"/>
        </w:trPr>
        <w:tc>
          <w:tcPr>
            <w:tcW w:w="5637" w:type="dxa"/>
            <w:vAlign w:val="center"/>
          </w:tcPr>
          <w:p w:rsidR="008F7C64" w:rsidRPr="00607022" w:rsidRDefault="008F7C64" w:rsidP="008F7C64">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Share premium</w:t>
            </w:r>
          </w:p>
        </w:tc>
        <w:tc>
          <w:tcPr>
            <w:tcW w:w="1843" w:type="dxa"/>
            <w:vAlign w:val="center"/>
          </w:tcPr>
          <w:p w:rsidR="008F7C64" w:rsidRPr="00607022" w:rsidRDefault="008F7C64" w:rsidP="008F7C64">
            <w:pPr>
              <w:tabs>
                <w:tab w:val="decimal" w:pos="1121"/>
                <w:tab w:val="center" w:pos="4513"/>
                <w:tab w:val="right" w:pos="9026"/>
              </w:tabs>
              <w:spacing w:after="0" w:line="240" w:lineRule="auto"/>
              <w:jc w:val="right"/>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6,017</w:t>
            </w: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vAlign w:val="center"/>
          </w:tcPr>
          <w:p w:rsidR="008F7C64" w:rsidRPr="006B474A" w:rsidRDefault="008F7C64" w:rsidP="008F7C64">
            <w:pPr>
              <w:tabs>
                <w:tab w:val="decimal" w:pos="1121"/>
                <w:tab w:val="center" w:pos="4513"/>
                <w:tab w:val="right" w:pos="9026"/>
              </w:tabs>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6,017</w:t>
            </w:r>
          </w:p>
        </w:tc>
      </w:tr>
      <w:tr w:rsidR="008F7C64" w:rsidRPr="00607022" w:rsidTr="004F3550">
        <w:trPr>
          <w:cantSplit/>
          <w:trHeight w:hRule="exact" w:val="284"/>
        </w:trPr>
        <w:tc>
          <w:tcPr>
            <w:tcW w:w="5637" w:type="dxa"/>
            <w:vAlign w:val="center"/>
          </w:tcPr>
          <w:p w:rsidR="008F7C64" w:rsidRPr="00607022" w:rsidRDefault="008F7C64" w:rsidP="008F7C64">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Capital redemption reserve</w:t>
            </w:r>
          </w:p>
        </w:tc>
        <w:tc>
          <w:tcPr>
            <w:tcW w:w="1843" w:type="dxa"/>
            <w:vAlign w:val="center"/>
          </w:tcPr>
          <w:p w:rsidR="008F7C64" w:rsidRPr="00607022" w:rsidRDefault="008F7C64" w:rsidP="008F7C64">
            <w:pPr>
              <w:tabs>
                <w:tab w:val="decimal" w:pos="1121"/>
                <w:tab w:val="center" w:pos="4513"/>
                <w:tab w:val="right" w:pos="9026"/>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359,641</w:t>
            </w: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vAlign w:val="center"/>
          </w:tcPr>
          <w:p w:rsidR="008F7C64" w:rsidRPr="006B474A" w:rsidRDefault="008F7C64" w:rsidP="008F7C64">
            <w:pPr>
              <w:tabs>
                <w:tab w:val="decimal" w:pos="1121"/>
                <w:tab w:val="center" w:pos="4513"/>
                <w:tab w:val="right" w:pos="9026"/>
              </w:tabs>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359,641</w:t>
            </w:r>
          </w:p>
        </w:tc>
      </w:tr>
      <w:tr w:rsidR="008F7C64" w:rsidRPr="00607022" w:rsidTr="004F3550">
        <w:trPr>
          <w:cantSplit/>
          <w:trHeight w:hRule="exact" w:val="284"/>
        </w:trPr>
        <w:tc>
          <w:tcPr>
            <w:tcW w:w="5637" w:type="dxa"/>
            <w:vAlign w:val="center"/>
          </w:tcPr>
          <w:p w:rsidR="008F7C64" w:rsidRPr="00607022" w:rsidRDefault="008F7C64" w:rsidP="008F7C64">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Merger reserve</w:t>
            </w:r>
          </w:p>
        </w:tc>
        <w:tc>
          <w:tcPr>
            <w:tcW w:w="1843" w:type="dxa"/>
            <w:vAlign w:val="center"/>
          </w:tcPr>
          <w:p w:rsidR="008F7C64" w:rsidRPr="00607022" w:rsidRDefault="008F7C64" w:rsidP="008F7C64">
            <w:pPr>
              <w:tabs>
                <w:tab w:val="decimal" w:pos="1121"/>
                <w:tab w:val="center" w:pos="4513"/>
                <w:tab w:val="right" w:pos="9026"/>
              </w:tabs>
              <w:spacing w:after="0" w:line="240" w:lineRule="auto"/>
              <w:jc w:val="right"/>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3,564</w:t>
            </w: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vAlign w:val="center"/>
          </w:tcPr>
          <w:p w:rsidR="008F7C64" w:rsidRPr="006B474A" w:rsidRDefault="008F7C64" w:rsidP="008F7C64">
            <w:pPr>
              <w:tabs>
                <w:tab w:val="decimal" w:pos="1121"/>
                <w:tab w:val="center" w:pos="4513"/>
                <w:tab w:val="right" w:pos="9026"/>
              </w:tabs>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3,564</w:t>
            </w:r>
          </w:p>
        </w:tc>
      </w:tr>
      <w:tr w:rsidR="006D347A" w:rsidRPr="00607022" w:rsidTr="004F3550">
        <w:trPr>
          <w:cantSplit/>
          <w:trHeight w:hRule="exact" w:val="284"/>
        </w:trPr>
        <w:tc>
          <w:tcPr>
            <w:tcW w:w="5637" w:type="dxa"/>
            <w:vAlign w:val="center"/>
          </w:tcPr>
          <w:p w:rsidR="006D347A" w:rsidRPr="00607022" w:rsidRDefault="006D347A" w:rsidP="008F7C64">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Revaluation reserve</w:t>
            </w:r>
          </w:p>
        </w:tc>
        <w:tc>
          <w:tcPr>
            <w:tcW w:w="1843" w:type="dxa"/>
            <w:vAlign w:val="center"/>
          </w:tcPr>
          <w:p w:rsidR="006D347A" w:rsidRPr="00607022" w:rsidRDefault="006D347A" w:rsidP="008F7C64">
            <w:pPr>
              <w:tabs>
                <w:tab w:val="decimal" w:pos="1121"/>
                <w:tab w:val="center" w:pos="4513"/>
                <w:tab w:val="right" w:pos="9026"/>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1,108,030</w:t>
            </w:r>
          </w:p>
        </w:tc>
        <w:tc>
          <w:tcPr>
            <w:tcW w:w="284" w:type="dxa"/>
          </w:tcPr>
          <w:p w:rsidR="006D347A" w:rsidRPr="00607022" w:rsidRDefault="006D347A" w:rsidP="008F7C64">
            <w:pPr>
              <w:spacing w:after="0" w:line="240" w:lineRule="auto"/>
              <w:jc w:val="right"/>
              <w:rPr>
                <w:rFonts w:ascii="Times New Roman" w:eastAsia="Calibri" w:hAnsi="Times New Roman" w:cs="Times New Roman"/>
                <w:bCs/>
                <w:sz w:val="20"/>
                <w:szCs w:val="20"/>
              </w:rPr>
            </w:pPr>
          </w:p>
        </w:tc>
        <w:tc>
          <w:tcPr>
            <w:tcW w:w="1842" w:type="dxa"/>
            <w:vAlign w:val="center"/>
          </w:tcPr>
          <w:p w:rsidR="006D347A" w:rsidRPr="006B474A" w:rsidRDefault="006D347A" w:rsidP="008F7C64">
            <w:pPr>
              <w:tabs>
                <w:tab w:val="decimal" w:pos="1121"/>
                <w:tab w:val="center" w:pos="4513"/>
                <w:tab w:val="right" w:pos="9026"/>
              </w:tabs>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w:t>
            </w:r>
          </w:p>
        </w:tc>
      </w:tr>
      <w:tr w:rsidR="008F7C64" w:rsidRPr="00607022" w:rsidTr="00361109">
        <w:trPr>
          <w:cantSplit/>
          <w:trHeight w:hRule="exact" w:val="284"/>
        </w:trPr>
        <w:tc>
          <w:tcPr>
            <w:tcW w:w="5637" w:type="dxa"/>
            <w:vAlign w:val="center"/>
          </w:tcPr>
          <w:p w:rsidR="008F7C64" w:rsidRPr="00607022" w:rsidRDefault="008F7C64" w:rsidP="008F7C64">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Retained earnings</w:t>
            </w:r>
          </w:p>
        </w:tc>
        <w:tc>
          <w:tcPr>
            <w:tcW w:w="1843" w:type="dxa"/>
            <w:tcBorders>
              <w:bottom w:val="single" w:sz="4" w:space="0" w:color="000000"/>
            </w:tcBorders>
            <w:vAlign w:val="center"/>
          </w:tcPr>
          <w:p w:rsidR="008F7C64" w:rsidRPr="00607022" w:rsidRDefault="006D347A" w:rsidP="008F7C64">
            <w:pPr>
              <w:tabs>
                <w:tab w:val="decimal" w:pos="1121"/>
                <w:tab w:val="center" w:pos="4513"/>
                <w:tab w:val="right" w:pos="9026"/>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51,756,778</w:t>
            </w: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Borders>
              <w:bottom w:val="single" w:sz="4" w:space="0" w:color="000000"/>
            </w:tcBorders>
            <w:vAlign w:val="center"/>
          </w:tcPr>
          <w:p w:rsidR="008F7C64" w:rsidRPr="006B474A" w:rsidRDefault="008F7C64" w:rsidP="008F7C64">
            <w:pPr>
              <w:tabs>
                <w:tab w:val="decimal" w:pos="1121"/>
                <w:tab w:val="center" w:pos="4513"/>
                <w:tab w:val="right" w:pos="9026"/>
              </w:tabs>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54,876,602</w:t>
            </w:r>
          </w:p>
        </w:tc>
      </w:tr>
      <w:tr w:rsidR="008F7C64" w:rsidRPr="00607022" w:rsidTr="00361109">
        <w:trPr>
          <w:cantSplit/>
          <w:trHeight w:hRule="exact" w:val="284"/>
        </w:trPr>
        <w:tc>
          <w:tcPr>
            <w:tcW w:w="5637" w:type="dxa"/>
            <w:vAlign w:val="center"/>
          </w:tcPr>
          <w:p w:rsidR="008F7C64" w:rsidRPr="00607022" w:rsidRDefault="008F7C64" w:rsidP="008F7C64">
            <w:pPr>
              <w:spacing w:after="0" w:line="240" w:lineRule="auto"/>
              <w:rPr>
                <w:rFonts w:ascii="Times New Roman" w:eastAsia="Calibri" w:hAnsi="Times New Roman" w:cs="Times New Roman"/>
                <w:b/>
                <w:bCs/>
                <w:sz w:val="20"/>
                <w:szCs w:val="20"/>
              </w:rPr>
            </w:pPr>
            <w:r w:rsidRPr="00607022">
              <w:rPr>
                <w:rFonts w:ascii="Times New Roman" w:eastAsia="Calibri" w:hAnsi="Times New Roman" w:cs="Times New Roman"/>
                <w:b/>
                <w:bCs/>
                <w:sz w:val="20"/>
                <w:szCs w:val="20"/>
              </w:rPr>
              <w:t>Total equity</w:t>
            </w:r>
          </w:p>
        </w:tc>
        <w:tc>
          <w:tcPr>
            <w:tcW w:w="1843" w:type="dxa"/>
            <w:tcBorders>
              <w:top w:val="single" w:sz="4" w:space="0" w:color="000000"/>
              <w:bottom w:val="single" w:sz="12" w:space="0" w:color="000000"/>
            </w:tcBorders>
            <w:vAlign w:val="center"/>
          </w:tcPr>
          <w:p w:rsidR="008F7C64" w:rsidRPr="00607022" w:rsidRDefault="006D347A" w:rsidP="008F7C64">
            <w:pPr>
              <w:tabs>
                <w:tab w:val="decimal" w:pos="1121"/>
              </w:tabs>
              <w:spacing w:after="0" w:line="240" w:lineRule="auto"/>
              <w:jc w:val="right"/>
              <w:rPr>
                <w:rFonts w:ascii="Times New Roman" w:eastAsia="Calibri" w:hAnsi="Times New Roman" w:cs="Times New Roman"/>
                <w:b/>
                <w:bCs/>
                <w:sz w:val="20"/>
                <w:szCs w:val="20"/>
              </w:rPr>
            </w:pPr>
            <w:r>
              <w:rPr>
                <w:rFonts w:ascii="Times New Roman" w:eastAsia="Calibri" w:hAnsi="Times New Roman" w:cs="Times New Roman"/>
                <w:b/>
                <w:bCs/>
                <w:sz w:val="20"/>
                <w:szCs w:val="20"/>
              </w:rPr>
              <w:t>53,668,935</w:t>
            </w:r>
          </w:p>
        </w:tc>
        <w:tc>
          <w:tcPr>
            <w:tcW w:w="284" w:type="dxa"/>
          </w:tcPr>
          <w:p w:rsidR="008F7C64" w:rsidRPr="00607022" w:rsidRDefault="008F7C64" w:rsidP="008F7C64">
            <w:pPr>
              <w:spacing w:after="0" w:line="240" w:lineRule="auto"/>
              <w:jc w:val="right"/>
              <w:rPr>
                <w:rFonts w:ascii="Times New Roman" w:eastAsia="Calibri" w:hAnsi="Times New Roman" w:cs="Times New Roman"/>
                <w:bCs/>
                <w:sz w:val="20"/>
                <w:szCs w:val="20"/>
              </w:rPr>
            </w:pPr>
          </w:p>
        </w:tc>
        <w:tc>
          <w:tcPr>
            <w:tcW w:w="1842" w:type="dxa"/>
            <w:tcBorders>
              <w:top w:val="single" w:sz="4" w:space="0" w:color="000000"/>
              <w:bottom w:val="single" w:sz="12" w:space="0" w:color="000000"/>
            </w:tcBorders>
            <w:vAlign w:val="center"/>
          </w:tcPr>
          <w:p w:rsidR="008F7C64" w:rsidRPr="006B474A" w:rsidRDefault="008F7C64" w:rsidP="008F7C64">
            <w:pPr>
              <w:tabs>
                <w:tab w:val="decimal" w:pos="1121"/>
              </w:tabs>
              <w:spacing w:after="0" w:line="240" w:lineRule="auto"/>
              <w:jc w:val="right"/>
              <w:rPr>
                <w:rFonts w:ascii="Times New Roman" w:eastAsia="Calibri" w:hAnsi="Times New Roman" w:cs="Times New Roman"/>
                <w:bCs/>
                <w:sz w:val="20"/>
                <w:szCs w:val="20"/>
              </w:rPr>
            </w:pPr>
            <w:r w:rsidRPr="006B474A">
              <w:rPr>
                <w:rFonts w:ascii="Times New Roman" w:eastAsia="Calibri" w:hAnsi="Times New Roman" w:cs="Times New Roman"/>
                <w:bCs/>
                <w:sz w:val="20"/>
                <w:szCs w:val="20"/>
              </w:rPr>
              <w:t>55,680,730</w:t>
            </w:r>
          </w:p>
        </w:tc>
      </w:tr>
    </w:tbl>
    <w:p w:rsidR="00433406" w:rsidRPr="00607022" w:rsidRDefault="00433406" w:rsidP="00882370">
      <w:pPr>
        <w:spacing w:after="0" w:line="240" w:lineRule="auto"/>
        <w:rPr>
          <w:rFonts w:ascii="Times New Roman" w:hAnsi="Times New Roman" w:cs="Times New Roman"/>
          <w:bCs/>
          <w:sz w:val="20"/>
          <w:szCs w:val="20"/>
        </w:rPr>
      </w:pPr>
    </w:p>
    <w:tbl>
      <w:tblPr>
        <w:tblW w:w="9606" w:type="dxa"/>
        <w:tblLayout w:type="fixed"/>
        <w:tblLook w:val="04A0" w:firstRow="1" w:lastRow="0" w:firstColumn="1" w:lastColumn="0" w:noHBand="0" w:noVBand="1"/>
      </w:tblPr>
      <w:tblGrid>
        <w:gridCol w:w="5637"/>
        <w:gridCol w:w="1842"/>
        <w:gridCol w:w="284"/>
        <w:gridCol w:w="1843"/>
      </w:tblGrid>
      <w:tr w:rsidR="00433406" w:rsidRPr="00607022" w:rsidTr="00BB7D50">
        <w:trPr>
          <w:cantSplit/>
          <w:trHeight w:hRule="exact" w:val="284"/>
        </w:trPr>
        <w:tc>
          <w:tcPr>
            <w:tcW w:w="5637" w:type="dxa"/>
            <w:vAlign w:val="center"/>
          </w:tcPr>
          <w:p w:rsidR="00433406" w:rsidRPr="00607022" w:rsidRDefault="00433406" w:rsidP="00882370">
            <w:pPr>
              <w:spacing w:after="0" w:line="240" w:lineRule="auto"/>
              <w:rPr>
                <w:rFonts w:ascii="Times New Roman" w:eastAsia="Calibri" w:hAnsi="Times New Roman" w:cs="Times New Roman"/>
                <w:bCs/>
                <w:sz w:val="20"/>
                <w:szCs w:val="20"/>
              </w:rPr>
            </w:pPr>
            <w:r w:rsidRPr="00607022">
              <w:rPr>
                <w:rFonts w:ascii="Times New Roman" w:eastAsia="Calibri" w:hAnsi="Times New Roman" w:cs="Times New Roman"/>
                <w:bCs/>
                <w:sz w:val="20"/>
                <w:szCs w:val="20"/>
              </w:rPr>
              <w:t>Net asset value per share</w:t>
            </w:r>
          </w:p>
        </w:tc>
        <w:tc>
          <w:tcPr>
            <w:tcW w:w="1842" w:type="dxa"/>
            <w:tcBorders>
              <w:bottom w:val="single" w:sz="12" w:space="0" w:color="000000"/>
            </w:tcBorders>
            <w:vAlign w:val="center"/>
          </w:tcPr>
          <w:p w:rsidR="00433406" w:rsidRPr="00607022" w:rsidRDefault="006D347A" w:rsidP="006D2681">
            <w:pPr>
              <w:tabs>
                <w:tab w:val="decimal" w:pos="1121"/>
              </w:tabs>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85.0</w:t>
            </w:r>
            <w:r w:rsidR="00DF2F66" w:rsidRPr="00607022">
              <w:rPr>
                <w:rFonts w:ascii="Times New Roman" w:eastAsia="Calibri" w:hAnsi="Times New Roman" w:cs="Times New Roman"/>
                <w:bCs/>
                <w:sz w:val="20"/>
                <w:szCs w:val="20"/>
              </w:rPr>
              <w:t xml:space="preserve"> </w:t>
            </w:r>
            <w:r w:rsidR="00F5449F" w:rsidRPr="00607022">
              <w:rPr>
                <w:rFonts w:ascii="Times New Roman" w:eastAsia="Calibri" w:hAnsi="Times New Roman" w:cs="Times New Roman"/>
                <w:bCs/>
                <w:sz w:val="20"/>
                <w:szCs w:val="20"/>
              </w:rPr>
              <w:t>p</w:t>
            </w:r>
          </w:p>
        </w:tc>
        <w:tc>
          <w:tcPr>
            <w:tcW w:w="284" w:type="dxa"/>
          </w:tcPr>
          <w:p w:rsidR="00433406" w:rsidRPr="00607022" w:rsidRDefault="00433406" w:rsidP="00882370">
            <w:pPr>
              <w:spacing w:after="0" w:line="240" w:lineRule="auto"/>
              <w:jc w:val="right"/>
              <w:rPr>
                <w:rFonts w:ascii="Times New Roman" w:eastAsia="Calibri" w:hAnsi="Times New Roman" w:cs="Times New Roman"/>
                <w:bCs/>
                <w:sz w:val="20"/>
                <w:szCs w:val="20"/>
              </w:rPr>
            </w:pPr>
          </w:p>
        </w:tc>
        <w:tc>
          <w:tcPr>
            <w:tcW w:w="1843" w:type="dxa"/>
            <w:tcBorders>
              <w:bottom w:val="single" w:sz="12" w:space="0" w:color="000000"/>
            </w:tcBorders>
            <w:vAlign w:val="center"/>
          </w:tcPr>
          <w:p w:rsidR="00433406" w:rsidRPr="00607022" w:rsidRDefault="008F7C64" w:rsidP="00882370">
            <w:pPr>
              <w:tabs>
                <w:tab w:val="decimal" w:pos="1121"/>
              </w:tabs>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88.1</w:t>
            </w:r>
            <w:r w:rsidR="005A6CAB" w:rsidRPr="00607022">
              <w:rPr>
                <w:rFonts w:ascii="Times New Roman" w:eastAsia="Calibri" w:hAnsi="Times New Roman" w:cs="Times New Roman"/>
                <w:bCs/>
                <w:sz w:val="20"/>
                <w:szCs w:val="20"/>
              </w:rPr>
              <w:t xml:space="preserve"> p</w:t>
            </w:r>
          </w:p>
        </w:tc>
      </w:tr>
    </w:tbl>
    <w:p w:rsidR="00210983" w:rsidRPr="00607022" w:rsidRDefault="00210983" w:rsidP="00882370">
      <w:pPr>
        <w:tabs>
          <w:tab w:val="left" w:pos="6424"/>
        </w:tabs>
        <w:spacing w:after="0" w:line="240" w:lineRule="auto"/>
        <w:ind w:right="2790"/>
        <w:rPr>
          <w:rFonts w:ascii="Times New Roman" w:hAnsi="Times New Roman" w:cs="Times New Roman"/>
          <w:bCs/>
          <w:sz w:val="20"/>
          <w:szCs w:val="20"/>
        </w:rPr>
      </w:pPr>
    </w:p>
    <w:p w:rsidR="00BB7D50" w:rsidRPr="00607022" w:rsidRDefault="00433406" w:rsidP="00882370">
      <w:pPr>
        <w:tabs>
          <w:tab w:val="left" w:pos="6424"/>
        </w:tabs>
        <w:spacing w:after="0" w:line="240" w:lineRule="auto"/>
        <w:ind w:right="2790"/>
        <w:rPr>
          <w:rFonts w:ascii="Times New Roman" w:hAnsi="Times New Roman" w:cs="Times New Roman"/>
          <w:bCs/>
          <w:sz w:val="20"/>
          <w:szCs w:val="20"/>
        </w:rPr>
      </w:pPr>
      <w:r w:rsidRPr="00607022">
        <w:rPr>
          <w:rFonts w:ascii="Times New Roman" w:hAnsi="Times New Roman" w:cs="Times New Roman"/>
          <w:bCs/>
          <w:sz w:val="20"/>
          <w:szCs w:val="20"/>
        </w:rPr>
        <w:t xml:space="preserve">The Board of Directors approved and authorised the </w:t>
      </w:r>
      <w:r w:rsidRPr="00607022">
        <w:rPr>
          <w:rFonts w:ascii="Times New Roman" w:hAnsi="Times New Roman" w:cs="Times New Roman"/>
          <w:sz w:val="20"/>
          <w:szCs w:val="20"/>
        </w:rPr>
        <w:t>Group</w:t>
      </w:r>
      <w:r w:rsidRPr="00607022">
        <w:rPr>
          <w:rFonts w:ascii="Times New Roman" w:hAnsi="Times New Roman" w:cs="Times New Roman"/>
          <w:bCs/>
          <w:sz w:val="20"/>
          <w:szCs w:val="20"/>
        </w:rPr>
        <w:t xml:space="preserve">’s financial </w:t>
      </w:r>
      <w:r w:rsidR="00582B6E">
        <w:rPr>
          <w:rFonts w:ascii="Times New Roman" w:hAnsi="Times New Roman" w:cs="Times New Roman"/>
          <w:bCs/>
          <w:sz w:val="20"/>
          <w:szCs w:val="20"/>
        </w:rPr>
        <w:t>s</w:t>
      </w:r>
      <w:r w:rsidRPr="00607022">
        <w:rPr>
          <w:rFonts w:ascii="Times New Roman" w:hAnsi="Times New Roman" w:cs="Times New Roman"/>
          <w:bCs/>
          <w:sz w:val="20"/>
          <w:szCs w:val="20"/>
        </w:rPr>
        <w:t xml:space="preserve">tatements for issue on </w:t>
      </w:r>
      <w:r w:rsidR="008F7C64">
        <w:rPr>
          <w:rFonts w:ascii="Times New Roman" w:hAnsi="Times New Roman" w:cs="Times New Roman"/>
          <w:bCs/>
          <w:sz w:val="20"/>
          <w:szCs w:val="20"/>
        </w:rPr>
        <w:t>2 October 2018</w:t>
      </w:r>
      <w:r w:rsidRPr="00607022">
        <w:rPr>
          <w:rFonts w:ascii="Times New Roman" w:hAnsi="Times New Roman" w:cs="Times New Roman"/>
          <w:bCs/>
          <w:sz w:val="20"/>
          <w:szCs w:val="20"/>
        </w:rPr>
        <w:t>.</w:t>
      </w:r>
    </w:p>
    <w:p w:rsidR="00210983" w:rsidRPr="00607022" w:rsidRDefault="00210983" w:rsidP="00882370">
      <w:pPr>
        <w:tabs>
          <w:tab w:val="left" w:pos="6424"/>
        </w:tabs>
        <w:spacing w:after="0" w:line="240" w:lineRule="auto"/>
        <w:ind w:right="2790"/>
        <w:rPr>
          <w:rFonts w:ascii="Times New Roman" w:hAnsi="Times New Roman" w:cs="Times New Roman"/>
          <w:bCs/>
          <w:sz w:val="20"/>
          <w:szCs w:val="20"/>
        </w:rPr>
      </w:pPr>
    </w:p>
    <w:p w:rsidR="00210983" w:rsidRPr="00607022" w:rsidRDefault="00210983" w:rsidP="00882370">
      <w:pPr>
        <w:tabs>
          <w:tab w:val="left" w:pos="6424"/>
        </w:tabs>
        <w:spacing w:after="0" w:line="240" w:lineRule="auto"/>
        <w:ind w:right="680"/>
        <w:rPr>
          <w:rFonts w:ascii="Times New Roman" w:hAnsi="Times New Roman" w:cs="Times New Roman"/>
          <w:bCs/>
          <w:sz w:val="20"/>
          <w:szCs w:val="20"/>
        </w:rPr>
      </w:pPr>
    </w:p>
    <w:p w:rsidR="00A06A8C" w:rsidRPr="006D347A" w:rsidRDefault="00433406" w:rsidP="006D347A">
      <w:pPr>
        <w:tabs>
          <w:tab w:val="left" w:pos="6424"/>
        </w:tabs>
        <w:spacing w:after="0" w:line="240" w:lineRule="auto"/>
        <w:ind w:right="680"/>
        <w:rPr>
          <w:rFonts w:ascii="Times New Roman" w:hAnsi="Times New Roman" w:cs="Times New Roman"/>
          <w:bCs/>
          <w:sz w:val="20"/>
          <w:szCs w:val="20"/>
        </w:rPr>
      </w:pPr>
      <w:r w:rsidRPr="00607022">
        <w:rPr>
          <w:rFonts w:ascii="Times New Roman" w:hAnsi="Times New Roman" w:cs="Times New Roman"/>
          <w:bCs/>
          <w:sz w:val="20"/>
          <w:szCs w:val="20"/>
        </w:rPr>
        <w:t>Signed on behalf of the Board by: CRW Parish (</w:t>
      </w:r>
      <w:r w:rsidR="00F80EDE" w:rsidRPr="00607022">
        <w:rPr>
          <w:rFonts w:ascii="Times New Roman" w:hAnsi="Times New Roman" w:cs="Times New Roman"/>
          <w:bCs/>
          <w:sz w:val="20"/>
          <w:szCs w:val="20"/>
        </w:rPr>
        <w:t>Director</w:t>
      </w:r>
      <w:r w:rsidRPr="00607022">
        <w:rPr>
          <w:rFonts w:ascii="Times New Roman" w:hAnsi="Times New Roman" w:cs="Times New Roman"/>
          <w:bCs/>
          <w:sz w:val="20"/>
          <w:szCs w:val="20"/>
        </w:rPr>
        <w:t xml:space="preserve">) and </w:t>
      </w:r>
      <w:r w:rsidR="006D2681" w:rsidRPr="00607022">
        <w:rPr>
          <w:rFonts w:ascii="Times New Roman" w:hAnsi="Times New Roman" w:cs="Times New Roman"/>
          <w:bCs/>
          <w:sz w:val="20"/>
          <w:szCs w:val="20"/>
        </w:rPr>
        <w:t>RAR Evans</w:t>
      </w:r>
      <w:r w:rsidRPr="00607022">
        <w:rPr>
          <w:rFonts w:ascii="Times New Roman" w:hAnsi="Times New Roman" w:cs="Times New Roman"/>
          <w:bCs/>
          <w:sz w:val="20"/>
          <w:szCs w:val="20"/>
        </w:rPr>
        <w:t xml:space="preserve"> (Director).</w:t>
      </w:r>
    </w:p>
    <w:p w:rsidR="00433406" w:rsidRPr="00607022" w:rsidRDefault="00210983" w:rsidP="00210983">
      <w:pPr>
        <w:spacing w:after="0" w:line="240" w:lineRule="auto"/>
        <w:rPr>
          <w:rFonts w:ascii="Times New Roman" w:hAnsi="Times New Roman" w:cs="Times New Roman"/>
          <w:b/>
          <w:bCs/>
          <w:sz w:val="20"/>
          <w:szCs w:val="20"/>
        </w:rPr>
      </w:pPr>
      <w:r w:rsidRPr="00607022">
        <w:rPr>
          <w:rFonts w:ascii="Times New Roman" w:hAnsi="Times New Roman" w:cs="Times New Roman"/>
          <w:b/>
          <w:bCs/>
          <w:sz w:val="20"/>
          <w:szCs w:val="20"/>
        </w:rPr>
        <w:lastRenderedPageBreak/>
        <w:t>CONSOLIDATED STATEMENT OF CASH FLOW</w:t>
      </w:r>
    </w:p>
    <w:p w:rsidR="00433406" w:rsidRPr="00607022" w:rsidRDefault="00433406" w:rsidP="00210983">
      <w:pPr>
        <w:spacing w:after="0" w:line="240" w:lineRule="auto"/>
        <w:rPr>
          <w:rFonts w:ascii="Times New Roman" w:hAnsi="Times New Roman" w:cs="Times New Roman"/>
          <w:spacing w:val="2"/>
          <w:sz w:val="20"/>
          <w:szCs w:val="20"/>
        </w:rPr>
      </w:pPr>
      <w:r w:rsidRPr="00607022">
        <w:rPr>
          <w:rFonts w:ascii="Times New Roman" w:hAnsi="Times New Roman" w:cs="Times New Roman"/>
          <w:spacing w:val="2"/>
          <w:sz w:val="20"/>
          <w:szCs w:val="20"/>
        </w:rPr>
        <w:t xml:space="preserve">For the year ended </w:t>
      </w:r>
      <w:r w:rsidR="006C61DF" w:rsidRPr="00607022">
        <w:rPr>
          <w:rFonts w:ascii="Times New Roman" w:hAnsi="Times New Roman" w:cs="Times New Roman"/>
          <w:spacing w:val="2"/>
          <w:sz w:val="20"/>
          <w:szCs w:val="20"/>
        </w:rPr>
        <w:t>30 June</w:t>
      </w:r>
    </w:p>
    <w:tbl>
      <w:tblPr>
        <w:tblW w:w="9248" w:type="dxa"/>
        <w:tblInd w:w="108" w:type="dxa"/>
        <w:tblLook w:val="04A0" w:firstRow="1" w:lastRow="0" w:firstColumn="1" w:lastColumn="0" w:noHBand="0" w:noVBand="1"/>
      </w:tblPr>
      <w:tblGrid>
        <w:gridCol w:w="5397"/>
        <w:gridCol w:w="2000"/>
        <w:gridCol w:w="277"/>
        <w:gridCol w:w="1574"/>
      </w:tblGrid>
      <w:tr w:rsidR="004F3550" w:rsidRPr="005A6CAB" w:rsidTr="006C7E08">
        <w:trPr>
          <w:trHeight w:hRule="exact" w:val="284"/>
        </w:trPr>
        <w:tc>
          <w:tcPr>
            <w:tcW w:w="539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sz w:val="20"/>
                <w:szCs w:val="20"/>
                <w:lang w:eastAsia="en-GB"/>
              </w:rPr>
            </w:pPr>
          </w:p>
        </w:tc>
        <w:tc>
          <w:tcPr>
            <w:tcW w:w="2000" w:type="dxa"/>
            <w:tcBorders>
              <w:top w:val="nil"/>
              <w:left w:val="nil"/>
              <w:bottom w:val="nil"/>
              <w:right w:val="nil"/>
            </w:tcBorders>
            <w:shd w:val="clear" w:color="auto" w:fill="auto"/>
            <w:noWrap/>
            <w:vAlign w:val="bottom"/>
            <w:hideMark/>
          </w:tcPr>
          <w:p w:rsidR="004F3550" w:rsidRPr="00607022" w:rsidRDefault="004F3550" w:rsidP="008F2EB6">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30 June 201</w:t>
            </w:r>
            <w:r w:rsidR="008F7C64">
              <w:rPr>
                <w:rFonts w:ascii="Times New Roman" w:hAnsi="Times New Roman" w:cs="Times New Roman"/>
                <w:b/>
                <w:bCs/>
                <w:sz w:val="20"/>
                <w:szCs w:val="20"/>
                <w:lang w:eastAsia="en-GB"/>
              </w:rPr>
              <w:t>8</w:t>
            </w:r>
          </w:p>
        </w:tc>
        <w:tc>
          <w:tcPr>
            <w:tcW w:w="27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vAlign w:val="bottom"/>
          </w:tcPr>
          <w:p w:rsidR="004F3550" w:rsidRPr="005A6CAB" w:rsidRDefault="004F3550" w:rsidP="00210983">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30 June</w:t>
            </w:r>
            <w:r w:rsidR="006C7E08" w:rsidRPr="005A6CAB">
              <w:rPr>
                <w:rFonts w:ascii="Times New Roman" w:hAnsi="Times New Roman" w:cs="Times New Roman"/>
                <w:bCs/>
                <w:sz w:val="20"/>
                <w:szCs w:val="20"/>
                <w:lang w:eastAsia="en-GB"/>
              </w:rPr>
              <w:t xml:space="preserve"> 201</w:t>
            </w:r>
            <w:r w:rsidR="008F7C64">
              <w:rPr>
                <w:rFonts w:ascii="Times New Roman" w:hAnsi="Times New Roman" w:cs="Times New Roman"/>
                <w:bCs/>
                <w:sz w:val="20"/>
                <w:szCs w:val="20"/>
                <w:lang w:eastAsia="en-GB"/>
              </w:rPr>
              <w:t>7</w:t>
            </w:r>
          </w:p>
        </w:tc>
      </w:tr>
      <w:tr w:rsidR="004F3550" w:rsidRPr="005A6CAB" w:rsidTr="006C7E08">
        <w:trPr>
          <w:trHeight w:hRule="exact" w:val="284"/>
        </w:trPr>
        <w:tc>
          <w:tcPr>
            <w:tcW w:w="539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sz w:val="20"/>
                <w:szCs w:val="20"/>
                <w:lang w:eastAsia="en-GB"/>
              </w:rPr>
            </w:pPr>
          </w:p>
        </w:tc>
        <w:tc>
          <w:tcPr>
            <w:tcW w:w="2000"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 xml:space="preserve">£   </w:t>
            </w:r>
          </w:p>
        </w:tc>
        <w:tc>
          <w:tcPr>
            <w:tcW w:w="27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vAlign w:val="bottom"/>
          </w:tcPr>
          <w:p w:rsidR="004F3550" w:rsidRPr="005A6CAB" w:rsidRDefault="004F3550" w:rsidP="00210983">
            <w:pPr>
              <w:spacing w:after="0" w:line="240" w:lineRule="auto"/>
              <w:jc w:val="right"/>
              <w:rPr>
                <w:rFonts w:ascii="Times New Roman" w:hAnsi="Times New Roman" w:cs="Times New Roman"/>
                <w:bCs/>
                <w:sz w:val="20"/>
                <w:szCs w:val="20"/>
                <w:lang w:eastAsia="en-GB"/>
              </w:rPr>
            </w:pPr>
            <w:r w:rsidRPr="005A6CAB">
              <w:rPr>
                <w:rFonts w:ascii="Times New Roman" w:hAnsi="Times New Roman" w:cs="Times New Roman"/>
                <w:bCs/>
                <w:sz w:val="20"/>
                <w:szCs w:val="20"/>
                <w:lang w:eastAsia="en-GB"/>
              </w:rPr>
              <w:t xml:space="preserve">£   </w:t>
            </w:r>
          </w:p>
        </w:tc>
      </w:tr>
      <w:tr w:rsidR="004F3550" w:rsidRPr="005A6CAB" w:rsidTr="006C7E08">
        <w:trPr>
          <w:cantSplit/>
          <w:trHeight w:hRule="exact" w:val="340"/>
        </w:trPr>
        <w:tc>
          <w:tcPr>
            <w:tcW w:w="539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Operating activities</w:t>
            </w:r>
          </w:p>
        </w:tc>
        <w:tc>
          <w:tcPr>
            <w:tcW w:w="2000"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bottom"/>
            <w:hideMark/>
          </w:tcPr>
          <w:p w:rsidR="004F3550" w:rsidRPr="00607022" w:rsidRDefault="004F3550" w:rsidP="00210983">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vAlign w:val="bottom"/>
          </w:tcPr>
          <w:p w:rsidR="004F3550" w:rsidRPr="005A6CAB" w:rsidRDefault="004F3550" w:rsidP="00210983">
            <w:pPr>
              <w:spacing w:after="0" w:line="240" w:lineRule="auto"/>
              <w:rPr>
                <w:rFonts w:ascii="Times New Roman" w:hAnsi="Times New Roman" w:cs="Times New Roman"/>
                <w:bCs/>
                <w:sz w:val="20"/>
                <w:szCs w:val="20"/>
                <w:lang w:eastAsia="en-GB"/>
              </w:rPr>
            </w:pPr>
          </w:p>
        </w:tc>
      </w:tr>
      <w:tr w:rsidR="008F7C64"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8F7C64" w:rsidRPr="00607022" w:rsidRDefault="006D347A" w:rsidP="008F7C64">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(Loss) / profit</w:t>
            </w:r>
            <w:r w:rsidR="008F7C64" w:rsidRPr="00607022">
              <w:rPr>
                <w:rFonts w:ascii="Times New Roman" w:hAnsi="Times New Roman" w:cs="Times New Roman"/>
                <w:sz w:val="20"/>
                <w:szCs w:val="20"/>
                <w:lang w:eastAsia="en-GB"/>
              </w:rPr>
              <w:t xml:space="preserve"> before tax</w:t>
            </w:r>
          </w:p>
        </w:tc>
        <w:tc>
          <w:tcPr>
            <w:tcW w:w="2000" w:type="dxa"/>
            <w:tcBorders>
              <w:top w:val="nil"/>
              <w:left w:val="nil"/>
              <w:bottom w:val="nil"/>
              <w:right w:val="nil"/>
            </w:tcBorders>
            <w:shd w:val="clear" w:color="auto" w:fill="auto"/>
            <w:noWrap/>
            <w:vAlign w:val="center"/>
          </w:tcPr>
          <w:p w:rsidR="008F7C64" w:rsidRPr="00607022" w:rsidRDefault="006D347A"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(1,618,854)</w:t>
            </w: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b/>
                <w:bCs/>
                <w:sz w:val="20"/>
                <w:szCs w:val="20"/>
                <w:lang w:eastAsia="en-GB"/>
              </w:rPr>
            </w:pPr>
          </w:p>
        </w:tc>
        <w:tc>
          <w:tcPr>
            <w:tcW w:w="1574" w:type="dxa"/>
            <w:tcBorders>
              <w:top w:val="nil"/>
              <w:left w:val="nil"/>
              <w:bottom w:val="nil"/>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7,426,687</w:t>
            </w:r>
          </w:p>
        </w:tc>
      </w:tr>
      <w:tr w:rsidR="008F7C64" w:rsidRPr="005A6CAB" w:rsidTr="00361109">
        <w:trPr>
          <w:cantSplit/>
          <w:trHeight w:hRule="exact" w:val="429"/>
        </w:trPr>
        <w:tc>
          <w:tcPr>
            <w:tcW w:w="539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b/>
                <w:sz w:val="20"/>
                <w:szCs w:val="20"/>
                <w:lang w:eastAsia="en-GB"/>
              </w:rPr>
            </w:pPr>
            <w:r w:rsidRPr="00607022">
              <w:rPr>
                <w:rFonts w:ascii="Times New Roman" w:hAnsi="Times New Roman" w:cs="Times New Roman"/>
                <w:b/>
                <w:sz w:val="20"/>
                <w:szCs w:val="20"/>
                <w:lang w:eastAsia="en-GB"/>
              </w:rPr>
              <w:t>Adjustments for:</w:t>
            </w:r>
          </w:p>
        </w:tc>
        <w:tc>
          <w:tcPr>
            <w:tcW w:w="2000" w:type="dxa"/>
            <w:tcBorders>
              <w:top w:val="nil"/>
              <w:left w:val="nil"/>
              <w:bottom w:val="nil"/>
              <w:right w:val="nil"/>
            </w:tcBorders>
            <w:shd w:val="clear" w:color="auto" w:fill="auto"/>
            <w:noWrap/>
            <w:vAlign w:val="center"/>
          </w:tcPr>
          <w:p w:rsidR="008F7C64" w:rsidRPr="00607022" w:rsidRDefault="008F7C64" w:rsidP="008F7C64">
            <w:pPr>
              <w:spacing w:after="0" w:line="240" w:lineRule="auto"/>
              <w:jc w:val="right"/>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b/>
                <w:bCs/>
                <w:sz w:val="20"/>
                <w:szCs w:val="20"/>
                <w:lang w:eastAsia="en-GB"/>
              </w:rPr>
            </w:pPr>
          </w:p>
        </w:tc>
        <w:tc>
          <w:tcPr>
            <w:tcW w:w="1574" w:type="dxa"/>
            <w:tcBorders>
              <w:top w:val="nil"/>
              <w:left w:val="nil"/>
              <w:bottom w:val="nil"/>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p>
        </w:tc>
      </w:tr>
      <w:tr w:rsidR="008F7C64"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Depreciation</w:t>
            </w:r>
          </w:p>
        </w:tc>
        <w:tc>
          <w:tcPr>
            <w:tcW w:w="2000" w:type="dxa"/>
            <w:tcBorders>
              <w:top w:val="nil"/>
              <w:left w:val="nil"/>
              <w:bottom w:val="nil"/>
              <w:right w:val="nil"/>
            </w:tcBorders>
            <w:shd w:val="clear" w:color="auto" w:fill="auto"/>
            <w:noWrap/>
            <w:vAlign w:val="center"/>
          </w:tcPr>
          <w:p w:rsidR="008F7C64" w:rsidRPr="00607022" w:rsidRDefault="008F7C64" w:rsidP="006D347A">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14,</w:t>
            </w:r>
            <w:r w:rsidR="006D347A">
              <w:rPr>
                <w:rFonts w:ascii="Times New Roman" w:hAnsi="Times New Roman" w:cs="Times New Roman"/>
                <w:b/>
                <w:bCs/>
                <w:sz w:val="20"/>
                <w:szCs w:val="20"/>
                <w:lang w:eastAsia="en-GB"/>
              </w:rPr>
              <w:t>954</w:t>
            </w: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b/>
                <w:bCs/>
                <w:sz w:val="20"/>
                <w:szCs w:val="20"/>
                <w:highlight w:val="yellow"/>
                <w:lang w:eastAsia="en-GB"/>
              </w:rPr>
            </w:pPr>
          </w:p>
        </w:tc>
        <w:tc>
          <w:tcPr>
            <w:tcW w:w="1574" w:type="dxa"/>
            <w:tcBorders>
              <w:top w:val="nil"/>
              <w:left w:val="nil"/>
              <w:bottom w:val="nil"/>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14,715</w:t>
            </w:r>
          </w:p>
        </w:tc>
      </w:tr>
      <w:tr w:rsidR="008F7C64" w:rsidRPr="005A6CAB" w:rsidTr="00361109">
        <w:trPr>
          <w:cantSplit/>
          <w:trHeight w:hRule="exact" w:val="654"/>
        </w:trPr>
        <w:tc>
          <w:tcPr>
            <w:tcW w:w="5397" w:type="dxa"/>
            <w:tcBorders>
              <w:top w:val="nil"/>
              <w:left w:val="nil"/>
              <w:bottom w:val="nil"/>
              <w:right w:val="nil"/>
            </w:tcBorders>
            <w:shd w:val="clear" w:color="auto" w:fill="auto"/>
            <w:noWrap/>
            <w:vAlign w:val="bottom"/>
            <w:hideMark/>
          </w:tcPr>
          <w:p w:rsidR="008F7C64" w:rsidRPr="00607022" w:rsidRDefault="008F7C64" w:rsidP="008F7C64">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 xml:space="preserve">Net unrealised </w:t>
            </w:r>
            <w:r w:rsidR="006D347A">
              <w:rPr>
                <w:rFonts w:ascii="Times New Roman" w:hAnsi="Times New Roman" w:cs="Times New Roman"/>
                <w:sz w:val="20"/>
                <w:szCs w:val="20"/>
                <w:lang w:eastAsia="en-GB"/>
              </w:rPr>
              <w:t>losses / (</w:t>
            </w:r>
            <w:r>
              <w:rPr>
                <w:rFonts w:ascii="Times New Roman" w:hAnsi="Times New Roman" w:cs="Times New Roman"/>
                <w:sz w:val="20"/>
                <w:szCs w:val="20"/>
                <w:lang w:eastAsia="en-GB"/>
              </w:rPr>
              <w:t>gains</w:t>
            </w:r>
            <w:r w:rsidR="006D347A">
              <w:rPr>
                <w:rFonts w:ascii="Times New Roman" w:hAnsi="Times New Roman" w:cs="Times New Roman"/>
                <w:sz w:val="20"/>
                <w:szCs w:val="20"/>
                <w:lang w:eastAsia="en-GB"/>
              </w:rPr>
              <w:t>)</w:t>
            </w:r>
            <w:r w:rsidRPr="00607022">
              <w:rPr>
                <w:rFonts w:ascii="Times New Roman" w:hAnsi="Times New Roman" w:cs="Times New Roman"/>
                <w:sz w:val="20"/>
                <w:szCs w:val="20"/>
                <w:lang w:eastAsia="en-GB"/>
              </w:rPr>
              <w:t xml:space="preserve"> on fair value investments through the </w:t>
            </w:r>
            <w:r w:rsidRPr="00607022">
              <w:rPr>
                <w:rFonts w:ascii="Times New Roman" w:hAnsi="Times New Roman" w:cs="Times New Roman"/>
                <w:sz w:val="20"/>
                <w:szCs w:val="20"/>
              </w:rPr>
              <w:t>profit or loss</w:t>
            </w:r>
          </w:p>
        </w:tc>
        <w:tc>
          <w:tcPr>
            <w:tcW w:w="2000" w:type="dxa"/>
            <w:tcBorders>
              <w:top w:val="nil"/>
              <w:left w:val="nil"/>
              <w:bottom w:val="nil"/>
              <w:right w:val="nil"/>
            </w:tcBorders>
            <w:shd w:val="clear" w:color="auto" w:fill="auto"/>
            <w:noWrap/>
            <w:vAlign w:val="bottom"/>
          </w:tcPr>
          <w:p w:rsidR="008F7C64" w:rsidRPr="00607022" w:rsidRDefault="006D347A"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608,527</w:t>
            </w:r>
          </w:p>
        </w:tc>
        <w:tc>
          <w:tcPr>
            <w:tcW w:w="277" w:type="dxa"/>
            <w:tcBorders>
              <w:top w:val="nil"/>
              <w:left w:val="nil"/>
              <w:bottom w:val="nil"/>
              <w:right w:val="nil"/>
            </w:tcBorders>
            <w:shd w:val="clear" w:color="auto" w:fill="auto"/>
            <w:noWrap/>
            <w:vAlign w:val="bottom"/>
            <w:hideMark/>
          </w:tcPr>
          <w:p w:rsidR="008F7C64" w:rsidRPr="00607022" w:rsidRDefault="008F7C64" w:rsidP="008F7C64">
            <w:pPr>
              <w:spacing w:after="0" w:line="240" w:lineRule="auto"/>
              <w:rPr>
                <w:rFonts w:ascii="Times New Roman" w:hAnsi="Times New Roman" w:cs="Times New Roman"/>
                <w:b/>
                <w:bCs/>
                <w:sz w:val="20"/>
                <w:szCs w:val="20"/>
                <w:highlight w:val="yellow"/>
                <w:lang w:eastAsia="en-GB"/>
              </w:rPr>
            </w:pPr>
          </w:p>
        </w:tc>
        <w:tc>
          <w:tcPr>
            <w:tcW w:w="1574" w:type="dxa"/>
            <w:tcBorders>
              <w:top w:val="nil"/>
              <w:left w:val="nil"/>
              <w:bottom w:val="nil"/>
              <w:right w:val="nil"/>
            </w:tcBorders>
            <w:shd w:val="clear" w:color="auto" w:fill="auto"/>
            <w:vAlign w:val="bottom"/>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(8,000,879)</w:t>
            </w:r>
          </w:p>
        </w:tc>
      </w:tr>
      <w:tr w:rsidR="008F7C64" w:rsidRPr="005A6CAB" w:rsidTr="00863B49">
        <w:trPr>
          <w:cantSplit/>
          <w:trHeight w:hRule="exact" w:val="604"/>
        </w:trPr>
        <w:tc>
          <w:tcPr>
            <w:tcW w:w="539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Finance costs</w:t>
            </w:r>
            <w:r w:rsidR="00863B49">
              <w:rPr>
                <w:rFonts w:ascii="Times New Roman" w:hAnsi="Times New Roman" w:cs="Times New Roman"/>
                <w:sz w:val="20"/>
                <w:szCs w:val="20"/>
                <w:lang w:eastAsia="en-GB"/>
              </w:rPr>
              <w:t xml:space="preserve"> (includes amortisation of capitalised loan note fee)</w:t>
            </w:r>
          </w:p>
        </w:tc>
        <w:tc>
          <w:tcPr>
            <w:tcW w:w="2000" w:type="dxa"/>
            <w:tcBorders>
              <w:top w:val="nil"/>
              <w:left w:val="nil"/>
              <w:bottom w:val="single" w:sz="4" w:space="0" w:color="auto"/>
              <w:right w:val="nil"/>
            </w:tcBorders>
            <w:shd w:val="clear" w:color="auto" w:fill="auto"/>
            <w:noWrap/>
            <w:vAlign w:val="center"/>
          </w:tcPr>
          <w:p w:rsidR="008F7C64" w:rsidRPr="00607022" w:rsidRDefault="006D347A"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462,289</w:t>
            </w:r>
          </w:p>
        </w:tc>
        <w:tc>
          <w:tcPr>
            <w:tcW w:w="277" w:type="dxa"/>
            <w:tcBorders>
              <w:top w:val="nil"/>
              <w:left w:val="nil"/>
              <w:bottom w:val="nil"/>
              <w:right w:val="nil"/>
            </w:tcBorders>
            <w:shd w:val="clear" w:color="auto" w:fill="auto"/>
            <w:noWrap/>
            <w:vAlign w:val="center"/>
            <w:hideMark/>
          </w:tcPr>
          <w:p w:rsidR="008F7C64" w:rsidRPr="00607022" w:rsidRDefault="008F7C64" w:rsidP="008F7C64">
            <w:pPr>
              <w:keepNext/>
              <w:keepLines/>
              <w:spacing w:after="0" w:line="240" w:lineRule="auto"/>
              <w:outlineLvl w:val="0"/>
              <w:rPr>
                <w:rFonts w:ascii="Times New Roman" w:hAnsi="Times New Roman" w:cs="Times New Roman"/>
                <w:b/>
                <w:bCs/>
                <w:sz w:val="20"/>
                <w:szCs w:val="20"/>
                <w:highlight w:val="yellow"/>
                <w:lang w:eastAsia="en-GB"/>
              </w:rPr>
            </w:pPr>
          </w:p>
        </w:tc>
        <w:tc>
          <w:tcPr>
            <w:tcW w:w="1574" w:type="dxa"/>
            <w:tcBorders>
              <w:top w:val="nil"/>
              <w:left w:val="nil"/>
              <w:bottom w:val="single" w:sz="4" w:space="0" w:color="auto"/>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740,115</w:t>
            </w:r>
          </w:p>
        </w:tc>
      </w:tr>
      <w:tr w:rsidR="008F7C64" w:rsidRPr="005A6CAB" w:rsidTr="00361109">
        <w:trPr>
          <w:cantSplit/>
          <w:trHeight w:hRule="exact" w:val="692"/>
        </w:trPr>
        <w:tc>
          <w:tcPr>
            <w:tcW w:w="5397" w:type="dxa"/>
            <w:tcBorders>
              <w:top w:val="nil"/>
              <w:left w:val="nil"/>
              <w:bottom w:val="nil"/>
              <w:right w:val="nil"/>
            </w:tcBorders>
            <w:shd w:val="clear" w:color="auto" w:fill="auto"/>
            <w:noWrap/>
            <w:hideMark/>
          </w:tcPr>
          <w:p w:rsidR="008F7C64" w:rsidRPr="00607022" w:rsidRDefault="008F7C64" w:rsidP="008F7C64">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Cash flow from operations before changes in working capital</w:t>
            </w:r>
          </w:p>
        </w:tc>
        <w:tc>
          <w:tcPr>
            <w:tcW w:w="2000" w:type="dxa"/>
            <w:tcBorders>
              <w:top w:val="nil"/>
              <w:left w:val="nil"/>
              <w:bottom w:val="nil"/>
              <w:right w:val="nil"/>
            </w:tcBorders>
            <w:shd w:val="clear" w:color="auto" w:fill="auto"/>
            <w:noWrap/>
          </w:tcPr>
          <w:p w:rsidR="008F7C64" w:rsidRPr="00607022" w:rsidRDefault="006D347A"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(533,084)</w:t>
            </w:r>
          </w:p>
        </w:tc>
        <w:tc>
          <w:tcPr>
            <w:tcW w:w="277" w:type="dxa"/>
            <w:tcBorders>
              <w:top w:val="nil"/>
              <w:left w:val="nil"/>
              <w:bottom w:val="nil"/>
              <w:right w:val="nil"/>
            </w:tcBorders>
            <w:shd w:val="clear" w:color="auto" w:fill="auto"/>
            <w:noWrap/>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1574" w:type="dxa"/>
            <w:tcBorders>
              <w:top w:val="nil"/>
              <w:left w:val="nil"/>
              <w:bottom w:val="nil"/>
              <w:right w:val="nil"/>
            </w:tcBorders>
            <w:shd w:val="clear" w:color="auto" w:fill="auto"/>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180,638</w:t>
            </w:r>
          </w:p>
        </w:tc>
      </w:tr>
      <w:tr w:rsidR="008F7C64"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2000" w:type="dxa"/>
            <w:tcBorders>
              <w:top w:val="nil"/>
              <w:left w:val="nil"/>
              <w:bottom w:val="nil"/>
              <w:right w:val="nil"/>
            </w:tcBorders>
            <w:shd w:val="clear" w:color="auto" w:fill="auto"/>
            <w:noWrap/>
            <w:vAlign w:val="center"/>
          </w:tcPr>
          <w:p w:rsidR="008F7C64" w:rsidRPr="00607022" w:rsidRDefault="008F7C64" w:rsidP="008F7C64">
            <w:pPr>
              <w:spacing w:after="0" w:line="240" w:lineRule="auto"/>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1574" w:type="dxa"/>
            <w:tcBorders>
              <w:top w:val="nil"/>
              <w:left w:val="nil"/>
              <w:bottom w:val="nil"/>
              <w:right w:val="nil"/>
            </w:tcBorders>
            <w:shd w:val="clear" w:color="auto" w:fill="auto"/>
            <w:vAlign w:val="center"/>
          </w:tcPr>
          <w:p w:rsidR="008F7C64" w:rsidRPr="006B474A" w:rsidRDefault="008F7C64" w:rsidP="008F7C64">
            <w:pPr>
              <w:spacing w:after="0" w:line="240" w:lineRule="auto"/>
              <w:rPr>
                <w:rFonts w:ascii="Times New Roman" w:hAnsi="Times New Roman" w:cs="Times New Roman"/>
                <w:bCs/>
                <w:sz w:val="20"/>
                <w:szCs w:val="20"/>
                <w:lang w:eastAsia="en-GB"/>
              </w:rPr>
            </w:pPr>
          </w:p>
        </w:tc>
      </w:tr>
      <w:tr w:rsidR="008F7C64" w:rsidRPr="005A6CAB" w:rsidTr="00582B6E">
        <w:trPr>
          <w:cantSplit/>
          <w:trHeight w:hRule="exact" w:val="458"/>
        </w:trPr>
        <w:tc>
          <w:tcPr>
            <w:tcW w:w="539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 xml:space="preserve">Decrease </w:t>
            </w:r>
            <w:r w:rsidRPr="00607022">
              <w:rPr>
                <w:rFonts w:ascii="Times New Roman" w:hAnsi="Times New Roman" w:cs="Times New Roman"/>
                <w:sz w:val="20"/>
                <w:szCs w:val="20"/>
                <w:lang w:eastAsia="en-GB"/>
              </w:rPr>
              <w:t xml:space="preserve">in financial assets at fair value through the </w:t>
            </w:r>
            <w:r w:rsidRPr="00607022">
              <w:rPr>
                <w:rFonts w:ascii="Times New Roman" w:hAnsi="Times New Roman" w:cs="Times New Roman"/>
                <w:sz w:val="20"/>
                <w:szCs w:val="20"/>
              </w:rPr>
              <w:t>profit or</w:t>
            </w:r>
            <w:r>
              <w:rPr>
                <w:rFonts w:ascii="Times New Roman" w:hAnsi="Times New Roman" w:cs="Times New Roman"/>
                <w:sz w:val="20"/>
                <w:szCs w:val="20"/>
              </w:rPr>
              <w:t xml:space="preserve"> loss</w:t>
            </w:r>
          </w:p>
        </w:tc>
        <w:tc>
          <w:tcPr>
            <w:tcW w:w="2000" w:type="dxa"/>
            <w:tcBorders>
              <w:top w:val="nil"/>
              <w:left w:val="nil"/>
              <w:bottom w:val="nil"/>
              <w:right w:val="nil"/>
            </w:tcBorders>
            <w:shd w:val="clear" w:color="auto" w:fill="auto"/>
            <w:noWrap/>
            <w:vAlign w:val="center"/>
          </w:tcPr>
          <w:p w:rsidR="008F7C64" w:rsidRPr="00607022" w:rsidRDefault="006D347A"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7,313,494</w:t>
            </w: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10,317,093</w:t>
            </w:r>
          </w:p>
        </w:tc>
      </w:tr>
      <w:tr w:rsidR="008F7C64"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8F7C64" w:rsidRPr="00607022" w:rsidRDefault="006D347A" w:rsidP="006D347A">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(De</w:t>
            </w:r>
            <w:r w:rsidR="008F7C64" w:rsidRPr="00607022">
              <w:rPr>
                <w:rFonts w:ascii="Times New Roman" w:hAnsi="Times New Roman" w:cs="Times New Roman"/>
                <w:sz w:val="20"/>
                <w:szCs w:val="20"/>
                <w:lang w:eastAsia="en-GB"/>
              </w:rPr>
              <w:t>crease</w:t>
            </w:r>
            <w:r w:rsidR="008F7C64">
              <w:rPr>
                <w:rFonts w:ascii="Times New Roman" w:hAnsi="Times New Roman" w:cs="Times New Roman"/>
                <w:sz w:val="20"/>
                <w:szCs w:val="20"/>
                <w:lang w:eastAsia="en-GB"/>
              </w:rPr>
              <w:t>)</w:t>
            </w:r>
            <w:r>
              <w:rPr>
                <w:rFonts w:ascii="Times New Roman" w:hAnsi="Times New Roman" w:cs="Times New Roman"/>
                <w:sz w:val="20"/>
                <w:szCs w:val="20"/>
                <w:lang w:eastAsia="en-GB"/>
              </w:rPr>
              <w:t xml:space="preserve"> </w:t>
            </w:r>
            <w:r w:rsidR="008F7C64" w:rsidRPr="00607022">
              <w:rPr>
                <w:rFonts w:ascii="Times New Roman" w:hAnsi="Times New Roman" w:cs="Times New Roman"/>
                <w:sz w:val="20"/>
                <w:szCs w:val="20"/>
                <w:lang w:eastAsia="en-GB"/>
              </w:rPr>
              <w:t>/</w:t>
            </w:r>
            <w:r>
              <w:rPr>
                <w:rFonts w:ascii="Times New Roman" w:hAnsi="Times New Roman" w:cs="Times New Roman"/>
                <w:sz w:val="20"/>
                <w:szCs w:val="20"/>
                <w:lang w:eastAsia="en-GB"/>
              </w:rPr>
              <w:t xml:space="preserve"> in</w:t>
            </w:r>
            <w:r w:rsidR="008F7C64" w:rsidRPr="00607022">
              <w:rPr>
                <w:rFonts w:ascii="Times New Roman" w:hAnsi="Times New Roman" w:cs="Times New Roman"/>
                <w:sz w:val="20"/>
                <w:szCs w:val="20"/>
                <w:lang w:eastAsia="en-GB"/>
              </w:rPr>
              <w:t>crease in trade and other receivables</w:t>
            </w:r>
          </w:p>
        </w:tc>
        <w:tc>
          <w:tcPr>
            <w:tcW w:w="2000" w:type="dxa"/>
            <w:tcBorders>
              <w:top w:val="nil"/>
              <w:left w:val="nil"/>
              <w:bottom w:val="nil"/>
              <w:right w:val="nil"/>
            </w:tcBorders>
            <w:shd w:val="clear" w:color="auto" w:fill="auto"/>
            <w:noWrap/>
            <w:vAlign w:val="center"/>
          </w:tcPr>
          <w:p w:rsidR="008F7C64" w:rsidRPr="00607022" w:rsidRDefault="006D347A"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255,881</w:t>
            </w: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(451,973)</w:t>
            </w:r>
          </w:p>
        </w:tc>
      </w:tr>
      <w:tr w:rsidR="008F7C64"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8F7C64" w:rsidRPr="00607022" w:rsidRDefault="006D347A" w:rsidP="008F7C64">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In</w:t>
            </w:r>
            <w:r w:rsidR="008F7C64" w:rsidRPr="00607022">
              <w:rPr>
                <w:rFonts w:ascii="Times New Roman" w:hAnsi="Times New Roman" w:cs="Times New Roman"/>
                <w:sz w:val="20"/>
                <w:szCs w:val="20"/>
                <w:lang w:eastAsia="en-GB"/>
              </w:rPr>
              <w:t>crease</w:t>
            </w:r>
            <w:r>
              <w:rPr>
                <w:rFonts w:ascii="Times New Roman" w:hAnsi="Times New Roman" w:cs="Times New Roman"/>
                <w:sz w:val="20"/>
                <w:szCs w:val="20"/>
                <w:lang w:eastAsia="en-GB"/>
              </w:rPr>
              <w:t xml:space="preserve"> </w:t>
            </w:r>
            <w:r w:rsidR="008F7C64">
              <w:rPr>
                <w:rFonts w:ascii="Times New Roman" w:hAnsi="Times New Roman" w:cs="Times New Roman"/>
                <w:sz w:val="20"/>
                <w:szCs w:val="20"/>
                <w:lang w:eastAsia="en-GB"/>
              </w:rPr>
              <w:t>/</w:t>
            </w:r>
            <w:r>
              <w:rPr>
                <w:rFonts w:ascii="Times New Roman" w:hAnsi="Times New Roman" w:cs="Times New Roman"/>
                <w:sz w:val="20"/>
                <w:szCs w:val="20"/>
                <w:lang w:eastAsia="en-GB"/>
              </w:rPr>
              <w:t xml:space="preserve"> (de</w:t>
            </w:r>
            <w:r w:rsidR="008F7C64">
              <w:rPr>
                <w:rFonts w:ascii="Times New Roman" w:hAnsi="Times New Roman" w:cs="Times New Roman"/>
                <w:sz w:val="20"/>
                <w:szCs w:val="20"/>
                <w:lang w:eastAsia="en-GB"/>
              </w:rPr>
              <w:t>crease</w:t>
            </w:r>
            <w:r>
              <w:rPr>
                <w:rFonts w:ascii="Times New Roman" w:hAnsi="Times New Roman" w:cs="Times New Roman"/>
                <w:sz w:val="20"/>
                <w:szCs w:val="20"/>
                <w:lang w:eastAsia="en-GB"/>
              </w:rPr>
              <w:t>)</w:t>
            </w:r>
            <w:r w:rsidR="008F7C64" w:rsidRPr="00607022">
              <w:rPr>
                <w:rFonts w:ascii="Times New Roman" w:hAnsi="Times New Roman" w:cs="Times New Roman"/>
                <w:sz w:val="20"/>
                <w:szCs w:val="20"/>
                <w:lang w:eastAsia="en-GB"/>
              </w:rPr>
              <w:t xml:space="preserve"> in trade and other payables</w:t>
            </w:r>
          </w:p>
        </w:tc>
        <w:tc>
          <w:tcPr>
            <w:tcW w:w="2000" w:type="dxa"/>
            <w:tcBorders>
              <w:top w:val="nil"/>
              <w:left w:val="nil"/>
              <w:bottom w:val="single" w:sz="4" w:space="0" w:color="auto"/>
              <w:right w:val="nil"/>
            </w:tcBorders>
            <w:shd w:val="clear" w:color="auto" w:fill="auto"/>
            <w:noWrap/>
            <w:vAlign w:val="center"/>
          </w:tcPr>
          <w:p w:rsidR="008F7C64" w:rsidRPr="00607022" w:rsidRDefault="006D347A"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372,250</w:t>
            </w: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nil"/>
              <w:left w:val="nil"/>
              <w:bottom w:val="single" w:sz="4" w:space="0" w:color="auto"/>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(347,255)</w:t>
            </w:r>
          </w:p>
        </w:tc>
      </w:tr>
      <w:tr w:rsidR="008F7C64"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Cash flow from operations</w:t>
            </w:r>
          </w:p>
        </w:tc>
        <w:tc>
          <w:tcPr>
            <w:tcW w:w="2000" w:type="dxa"/>
            <w:tcBorders>
              <w:top w:val="nil"/>
              <w:left w:val="nil"/>
              <w:bottom w:val="nil"/>
              <w:right w:val="nil"/>
            </w:tcBorders>
            <w:shd w:val="clear" w:color="auto" w:fill="auto"/>
            <w:noWrap/>
            <w:vAlign w:val="center"/>
          </w:tcPr>
          <w:p w:rsidR="008F7C64" w:rsidRPr="00607022" w:rsidRDefault="006D347A"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7,408,541</w:t>
            </w: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9,698,503</w:t>
            </w:r>
          </w:p>
        </w:tc>
      </w:tr>
      <w:tr w:rsidR="008F7C64"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2000" w:type="dxa"/>
            <w:tcBorders>
              <w:top w:val="nil"/>
              <w:left w:val="nil"/>
              <w:bottom w:val="nil"/>
              <w:right w:val="nil"/>
            </w:tcBorders>
            <w:shd w:val="clear" w:color="auto" w:fill="auto"/>
            <w:noWrap/>
            <w:vAlign w:val="center"/>
          </w:tcPr>
          <w:p w:rsidR="008F7C64" w:rsidRPr="00607022" w:rsidRDefault="008F7C64" w:rsidP="008F7C64">
            <w:pPr>
              <w:spacing w:after="0" w:line="240" w:lineRule="auto"/>
              <w:jc w:val="right"/>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1574" w:type="dxa"/>
            <w:tcBorders>
              <w:top w:val="nil"/>
              <w:left w:val="nil"/>
              <w:bottom w:val="nil"/>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p>
        </w:tc>
      </w:tr>
      <w:tr w:rsidR="008F7C64"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Income taxes paid</w:t>
            </w:r>
          </w:p>
        </w:tc>
        <w:tc>
          <w:tcPr>
            <w:tcW w:w="2000" w:type="dxa"/>
            <w:tcBorders>
              <w:top w:val="nil"/>
              <w:left w:val="nil"/>
              <w:bottom w:val="single" w:sz="4" w:space="0" w:color="auto"/>
              <w:right w:val="nil"/>
            </w:tcBorders>
            <w:shd w:val="clear" w:color="auto" w:fill="auto"/>
            <w:noWrap/>
            <w:vAlign w:val="center"/>
          </w:tcPr>
          <w:p w:rsidR="008F7C64" w:rsidRPr="00607022" w:rsidRDefault="008F7C64" w:rsidP="006D347A">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sidR="006D347A">
              <w:rPr>
                <w:rFonts w:ascii="Times New Roman" w:hAnsi="Times New Roman" w:cs="Times New Roman"/>
                <w:b/>
                <w:bCs/>
                <w:sz w:val="20"/>
                <w:szCs w:val="20"/>
                <w:lang w:eastAsia="en-GB"/>
              </w:rPr>
              <w:t>964,207</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nil"/>
              <w:left w:val="nil"/>
              <w:bottom w:val="single" w:sz="4" w:space="0" w:color="auto"/>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(650,684)</w:t>
            </w:r>
          </w:p>
        </w:tc>
      </w:tr>
      <w:tr w:rsidR="008F7C64"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8F7C64" w:rsidRPr="00607022" w:rsidRDefault="003C3F53" w:rsidP="008F7C64">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Net cash generated</w:t>
            </w:r>
            <w:r w:rsidR="008F7C64" w:rsidRPr="00607022">
              <w:rPr>
                <w:rFonts w:ascii="Times New Roman" w:hAnsi="Times New Roman" w:cs="Times New Roman"/>
                <w:b/>
                <w:bCs/>
                <w:sz w:val="20"/>
                <w:szCs w:val="20"/>
                <w:lang w:eastAsia="en-GB"/>
              </w:rPr>
              <w:t xml:space="preserve"> from operating activities</w:t>
            </w:r>
          </w:p>
        </w:tc>
        <w:tc>
          <w:tcPr>
            <w:tcW w:w="2000" w:type="dxa"/>
            <w:tcBorders>
              <w:top w:val="nil"/>
              <w:left w:val="nil"/>
              <w:bottom w:val="nil"/>
              <w:right w:val="nil"/>
            </w:tcBorders>
            <w:shd w:val="clear" w:color="auto" w:fill="auto"/>
            <w:noWrap/>
            <w:vAlign w:val="center"/>
          </w:tcPr>
          <w:p w:rsidR="008F7C64" w:rsidRPr="00607022" w:rsidRDefault="006D347A"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6,444,334</w:t>
            </w: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9,047,819</w:t>
            </w:r>
          </w:p>
        </w:tc>
      </w:tr>
      <w:tr w:rsidR="008F7C64" w:rsidRPr="005A6CAB" w:rsidTr="00AA7CC8">
        <w:trPr>
          <w:cantSplit/>
          <w:trHeight w:hRule="exact" w:val="340"/>
        </w:trPr>
        <w:tc>
          <w:tcPr>
            <w:tcW w:w="5397" w:type="dxa"/>
            <w:tcBorders>
              <w:top w:val="nil"/>
              <w:left w:val="nil"/>
              <w:bottom w:val="nil"/>
              <w:right w:val="nil"/>
            </w:tcBorders>
            <w:shd w:val="clear" w:color="auto" w:fill="auto"/>
            <w:noWrap/>
            <w:vAlign w:val="bottom"/>
            <w:hideMark/>
          </w:tcPr>
          <w:p w:rsidR="008F7C64" w:rsidRPr="00607022" w:rsidRDefault="008F7C64" w:rsidP="008F7C64">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Investing a</w:t>
            </w:r>
            <w:r w:rsidRPr="00607022">
              <w:rPr>
                <w:rFonts w:ascii="Times New Roman" w:hAnsi="Times New Roman" w:cs="Times New Roman"/>
                <w:b/>
                <w:bCs/>
                <w:sz w:val="20"/>
                <w:szCs w:val="20"/>
                <w:lang w:eastAsia="en-GB"/>
              </w:rPr>
              <w:t>ctivities</w:t>
            </w:r>
          </w:p>
        </w:tc>
        <w:tc>
          <w:tcPr>
            <w:tcW w:w="2000" w:type="dxa"/>
            <w:tcBorders>
              <w:top w:val="nil"/>
              <w:left w:val="nil"/>
              <w:bottom w:val="nil"/>
              <w:right w:val="nil"/>
            </w:tcBorders>
            <w:shd w:val="clear" w:color="auto" w:fill="auto"/>
            <w:noWrap/>
            <w:vAlign w:val="center"/>
          </w:tcPr>
          <w:p w:rsidR="008F7C64" w:rsidRPr="00607022" w:rsidRDefault="008F7C64" w:rsidP="008F7C64">
            <w:pPr>
              <w:spacing w:after="0" w:line="240" w:lineRule="auto"/>
              <w:jc w:val="right"/>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p>
        </w:tc>
      </w:tr>
      <w:tr w:rsidR="008F7C64"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Purchase of property, plant and equipment</w:t>
            </w:r>
          </w:p>
        </w:tc>
        <w:tc>
          <w:tcPr>
            <w:tcW w:w="2000" w:type="dxa"/>
            <w:tcBorders>
              <w:top w:val="nil"/>
              <w:left w:val="nil"/>
              <w:bottom w:val="nil"/>
              <w:right w:val="nil"/>
            </w:tcBorders>
            <w:shd w:val="clear" w:color="auto" w:fill="auto"/>
            <w:noWrap/>
            <w:vAlign w:val="center"/>
          </w:tcPr>
          <w:p w:rsidR="008F7C64" w:rsidRPr="00607022" w:rsidRDefault="008F7C64" w:rsidP="006D347A">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w:t>
            </w:r>
            <w:r w:rsidR="006D347A">
              <w:rPr>
                <w:rFonts w:ascii="Times New Roman" w:hAnsi="Times New Roman" w:cs="Times New Roman"/>
                <w:b/>
                <w:bCs/>
                <w:sz w:val="20"/>
                <w:szCs w:val="20"/>
                <w:lang w:eastAsia="en-GB"/>
              </w:rPr>
              <w:t>3,310</w:t>
            </w:r>
            <w:r>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(16,746)</w:t>
            </w:r>
          </w:p>
        </w:tc>
      </w:tr>
      <w:tr w:rsidR="008F7C64"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8F7C64" w:rsidRPr="00607022" w:rsidRDefault="003C3F53" w:rsidP="008F7C64">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Net cash</w:t>
            </w:r>
            <w:r w:rsidR="008F7C64" w:rsidRPr="00607022">
              <w:rPr>
                <w:rFonts w:ascii="Times New Roman" w:hAnsi="Times New Roman" w:cs="Times New Roman"/>
                <w:b/>
                <w:bCs/>
                <w:sz w:val="20"/>
                <w:szCs w:val="20"/>
                <w:lang w:eastAsia="en-GB"/>
              </w:rPr>
              <w:t xml:space="preserve"> used in investing activities</w:t>
            </w:r>
          </w:p>
        </w:tc>
        <w:tc>
          <w:tcPr>
            <w:tcW w:w="2000" w:type="dxa"/>
            <w:tcBorders>
              <w:top w:val="single" w:sz="4" w:space="0" w:color="auto"/>
              <w:left w:val="nil"/>
              <w:bottom w:val="single" w:sz="4" w:space="0" w:color="auto"/>
              <w:right w:val="nil"/>
            </w:tcBorders>
            <w:shd w:val="clear" w:color="auto" w:fill="auto"/>
            <w:noWrap/>
            <w:vAlign w:val="center"/>
          </w:tcPr>
          <w:p w:rsidR="008F7C64" w:rsidRPr="00607022" w:rsidRDefault="008F7C64" w:rsidP="006D347A">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w:t>
            </w:r>
            <w:r w:rsidR="006D347A">
              <w:rPr>
                <w:rFonts w:ascii="Times New Roman" w:hAnsi="Times New Roman" w:cs="Times New Roman"/>
                <w:b/>
                <w:bCs/>
                <w:sz w:val="20"/>
                <w:szCs w:val="20"/>
                <w:lang w:eastAsia="en-GB"/>
              </w:rPr>
              <w:t>3,310</w:t>
            </w:r>
            <w:r>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single" w:sz="4" w:space="0" w:color="auto"/>
              <w:left w:val="nil"/>
              <w:bottom w:val="single" w:sz="4" w:space="0" w:color="auto"/>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(16,746)</w:t>
            </w:r>
          </w:p>
        </w:tc>
      </w:tr>
      <w:tr w:rsidR="008F7C64" w:rsidRPr="005A6CAB" w:rsidTr="00361109">
        <w:trPr>
          <w:cantSplit/>
          <w:trHeight w:hRule="exact" w:val="722"/>
        </w:trPr>
        <w:tc>
          <w:tcPr>
            <w:tcW w:w="5397" w:type="dxa"/>
            <w:tcBorders>
              <w:top w:val="nil"/>
              <w:left w:val="nil"/>
              <w:bottom w:val="nil"/>
              <w:right w:val="nil"/>
            </w:tcBorders>
            <w:shd w:val="clear" w:color="auto" w:fill="auto"/>
            <w:noWrap/>
            <w:vAlign w:val="bottom"/>
            <w:hideMark/>
          </w:tcPr>
          <w:p w:rsidR="008F7C64" w:rsidRPr="00607022" w:rsidRDefault="008F7C64" w:rsidP="008F7C64">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Financing activities</w:t>
            </w:r>
          </w:p>
        </w:tc>
        <w:tc>
          <w:tcPr>
            <w:tcW w:w="2000" w:type="dxa"/>
            <w:tcBorders>
              <w:top w:val="nil"/>
              <w:left w:val="nil"/>
              <w:bottom w:val="nil"/>
              <w:right w:val="nil"/>
            </w:tcBorders>
            <w:shd w:val="clear" w:color="auto" w:fill="auto"/>
            <w:noWrap/>
            <w:vAlign w:val="bottom"/>
          </w:tcPr>
          <w:p w:rsidR="008F7C64" w:rsidRPr="00607022" w:rsidRDefault="008F7C64" w:rsidP="008F7C64">
            <w:pPr>
              <w:spacing w:after="0" w:line="240" w:lineRule="auto"/>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bottom"/>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bottom"/>
          </w:tcPr>
          <w:p w:rsidR="008F7C64" w:rsidRPr="006B474A" w:rsidRDefault="008F7C64" w:rsidP="008F7C64">
            <w:pPr>
              <w:spacing w:after="0" w:line="240" w:lineRule="auto"/>
              <w:rPr>
                <w:rFonts w:ascii="Times New Roman" w:hAnsi="Times New Roman" w:cs="Times New Roman"/>
                <w:bCs/>
                <w:sz w:val="20"/>
                <w:szCs w:val="20"/>
                <w:lang w:eastAsia="en-GB"/>
              </w:rPr>
            </w:pPr>
          </w:p>
        </w:tc>
      </w:tr>
      <w:tr w:rsidR="008F7C64"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Interest paid</w:t>
            </w:r>
          </w:p>
        </w:tc>
        <w:tc>
          <w:tcPr>
            <w:tcW w:w="2000" w:type="dxa"/>
            <w:tcBorders>
              <w:top w:val="nil"/>
              <w:left w:val="nil"/>
              <w:bottom w:val="nil"/>
              <w:right w:val="nil"/>
            </w:tcBorders>
            <w:shd w:val="clear" w:color="auto" w:fill="auto"/>
            <w:noWrap/>
            <w:vAlign w:val="center"/>
          </w:tcPr>
          <w:p w:rsidR="008F7C64" w:rsidRPr="00607022" w:rsidRDefault="008F7C64"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w:t>
            </w:r>
            <w:r w:rsidR="006D347A">
              <w:rPr>
                <w:rFonts w:ascii="Times New Roman" w:hAnsi="Times New Roman" w:cs="Times New Roman"/>
                <w:b/>
                <w:bCs/>
                <w:sz w:val="20"/>
                <w:szCs w:val="20"/>
                <w:lang w:eastAsia="en-GB"/>
              </w:rPr>
              <w:t>468.875</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(699,991)</w:t>
            </w:r>
          </w:p>
        </w:tc>
      </w:tr>
      <w:tr w:rsidR="008F7C64"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r w:rsidRPr="00607022">
              <w:rPr>
                <w:rFonts w:ascii="Times New Roman" w:hAnsi="Times New Roman" w:cs="Times New Roman"/>
                <w:sz w:val="20"/>
                <w:szCs w:val="20"/>
                <w:lang w:eastAsia="en-GB"/>
              </w:rPr>
              <w:t>Net dividends paid to Shareholders</w:t>
            </w:r>
          </w:p>
        </w:tc>
        <w:tc>
          <w:tcPr>
            <w:tcW w:w="2000" w:type="dxa"/>
            <w:tcBorders>
              <w:top w:val="nil"/>
              <w:left w:val="nil"/>
              <w:bottom w:val="nil"/>
              <w:right w:val="nil"/>
            </w:tcBorders>
            <w:shd w:val="clear" w:color="auto" w:fill="auto"/>
            <w:noWrap/>
            <w:vAlign w:val="center"/>
          </w:tcPr>
          <w:p w:rsidR="008F7C64" w:rsidRPr="00607022" w:rsidRDefault="008F7C64" w:rsidP="006D347A">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Pr>
                <w:rFonts w:ascii="Times New Roman" w:hAnsi="Times New Roman" w:cs="Times New Roman"/>
                <w:b/>
                <w:bCs/>
                <w:sz w:val="20"/>
                <w:szCs w:val="20"/>
                <w:lang w:eastAsia="en-GB"/>
              </w:rPr>
              <w:t>1,</w:t>
            </w:r>
            <w:r w:rsidR="006D347A">
              <w:rPr>
                <w:rFonts w:ascii="Times New Roman" w:hAnsi="Times New Roman" w:cs="Times New Roman"/>
                <w:b/>
                <w:bCs/>
                <w:sz w:val="20"/>
                <w:szCs w:val="20"/>
                <w:lang w:eastAsia="en-GB"/>
              </w:rPr>
              <w:t>520,222</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(1,517,459)</w:t>
            </w:r>
          </w:p>
        </w:tc>
      </w:tr>
      <w:tr w:rsidR="008F7C64"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Repayment of borrowing</w:t>
            </w:r>
          </w:p>
        </w:tc>
        <w:tc>
          <w:tcPr>
            <w:tcW w:w="2000" w:type="dxa"/>
            <w:tcBorders>
              <w:top w:val="nil"/>
              <w:left w:val="nil"/>
              <w:bottom w:val="nil"/>
              <w:right w:val="nil"/>
            </w:tcBorders>
            <w:shd w:val="clear" w:color="auto" w:fill="auto"/>
            <w:noWrap/>
            <w:vAlign w:val="center"/>
          </w:tcPr>
          <w:p w:rsidR="008F7C64" w:rsidRPr="00607022" w:rsidRDefault="008F7C64" w:rsidP="008F7C64">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sidR="006D347A">
              <w:rPr>
                <w:rFonts w:ascii="Times New Roman" w:hAnsi="Times New Roman" w:cs="Times New Roman"/>
                <w:b/>
                <w:bCs/>
                <w:sz w:val="20"/>
                <w:szCs w:val="20"/>
                <w:lang w:eastAsia="en-GB"/>
              </w:rPr>
              <w:t>4,6</w:t>
            </w:r>
            <w:r>
              <w:rPr>
                <w:rFonts w:ascii="Times New Roman" w:hAnsi="Times New Roman" w:cs="Times New Roman"/>
                <w:b/>
                <w:bCs/>
                <w:sz w:val="20"/>
                <w:szCs w:val="20"/>
                <w:lang w:eastAsia="en-GB"/>
              </w:rPr>
              <w:t>00,000</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(6,400,000)</w:t>
            </w:r>
          </w:p>
        </w:tc>
      </w:tr>
      <w:tr w:rsidR="008F7C64" w:rsidRPr="005A6CAB" w:rsidTr="00361109">
        <w:trPr>
          <w:cantSplit/>
          <w:trHeight w:hRule="exact" w:val="340"/>
        </w:trPr>
        <w:tc>
          <w:tcPr>
            <w:tcW w:w="539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r>
              <w:rPr>
                <w:rFonts w:ascii="Times New Roman" w:hAnsi="Times New Roman" w:cs="Times New Roman"/>
                <w:sz w:val="20"/>
                <w:szCs w:val="20"/>
                <w:lang w:eastAsia="en-GB"/>
              </w:rPr>
              <w:t>Purchase of own shares subsequently cancelled</w:t>
            </w:r>
          </w:p>
        </w:tc>
        <w:tc>
          <w:tcPr>
            <w:tcW w:w="2000" w:type="dxa"/>
            <w:tcBorders>
              <w:top w:val="nil"/>
              <w:left w:val="nil"/>
              <w:bottom w:val="nil"/>
              <w:right w:val="nil"/>
            </w:tcBorders>
            <w:shd w:val="clear" w:color="auto" w:fill="auto"/>
            <w:noWrap/>
            <w:vAlign w:val="center"/>
          </w:tcPr>
          <w:p w:rsidR="008F7C64" w:rsidRPr="00607022" w:rsidRDefault="006D347A"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(194,306)</w:t>
            </w:r>
          </w:p>
        </w:tc>
      </w:tr>
      <w:tr w:rsidR="008F7C64" w:rsidRPr="005A6CAB" w:rsidTr="00361109">
        <w:trPr>
          <w:cantSplit/>
          <w:trHeight w:hRule="exact" w:val="327"/>
        </w:trPr>
        <w:tc>
          <w:tcPr>
            <w:tcW w:w="5397" w:type="dxa"/>
            <w:tcBorders>
              <w:top w:val="nil"/>
              <w:left w:val="nil"/>
              <w:bottom w:val="nil"/>
              <w:right w:val="nil"/>
            </w:tcBorders>
            <w:shd w:val="clear" w:color="auto" w:fill="auto"/>
            <w:noWrap/>
            <w:vAlign w:val="center"/>
            <w:hideMark/>
          </w:tcPr>
          <w:p w:rsidR="008F7C64" w:rsidRPr="00607022" w:rsidRDefault="003C3F53" w:rsidP="008F7C64">
            <w:pPr>
              <w:spacing w:after="0" w:line="240" w:lineRule="auto"/>
              <w:rPr>
                <w:rFonts w:ascii="Times New Roman" w:hAnsi="Times New Roman" w:cs="Times New Roman"/>
                <w:b/>
                <w:bCs/>
                <w:sz w:val="20"/>
                <w:szCs w:val="20"/>
                <w:lang w:eastAsia="en-GB"/>
              </w:rPr>
            </w:pPr>
            <w:r>
              <w:rPr>
                <w:rFonts w:ascii="Times New Roman" w:hAnsi="Times New Roman" w:cs="Times New Roman"/>
                <w:b/>
                <w:bCs/>
                <w:sz w:val="20"/>
                <w:szCs w:val="20"/>
                <w:lang w:eastAsia="en-GB"/>
              </w:rPr>
              <w:t>Net cash</w:t>
            </w:r>
            <w:r w:rsidR="008F7C64" w:rsidRPr="00607022">
              <w:rPr>
                <w:rFonts w:ascii="Times New Roman" w:hAnsi="Times New Roman" w:cs="Times New Roman"/>
                <w:b/>
                <w:bCs/>
                <w:sz w:val="20"/>
                <w:szCs w:val="20"/>
                <w:lang w:eastAsia="en-GB"/>
              </w:rPr>
              <w:t xml:space="preserve"> used in financing activities</w:t>
            </w:r>
          </w:p>
        </w:tc>
        <w:tc>
          <w:tcPr>
            <w:tcW w:w="2000" w:type="dxa"/>
            <w:tcBorders>
              <w:top w:val="single" w:sz="4" w:space="0" w:color="auto"/>
              <w:left w:val="nil"/>
              <w:bottom w:val="single" w:sz="4" w:space="0" w:color="auto"/>
              <w:right w:val="nil"/>
            </w:tcBorders>
            <w:shd w:val="clear" w:color="auto" w:fill="auto"/>
            <w:noWrap/>
            <w:vAlign w:val="center"/>
          </w:tcPr>
          <w:p w:rsidR="008F7C64" w:rsidRPr="00607022" w:rsidRDefault="008F7C64" w:rsidP="006D347A">
            <w:pPr>
              <w:spacing w:after="0" w:line="240" w:lineRule="auto"/>
              <w:jc w:val="right"/>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w:t>
            </w:r>
            <w:r w:rsidR="006D347A">
              <w:rPr>
                <w:rFonts w:ascii="Times New Roman" w:hAnsi="Times New Roman" w:cs="Times New Roman"/>
                <w:b/>
                <w:bCs/>
                <w:sz w:val="20"/>
                <w:szCs w:val="20"/>
                <w:lang w:eastAsia="en-GB"/>
              </w:rPr>
              <w:t>6,589,097</w:t>
            </w:r>
            <w:r w:rsidRPr="00607022">
              <w:rPr>
                <w:rFonts w:ascii="Times New Roman" w:hAnsi="Times New Roman" w:cs="Times New Roman"/>
                <w:b/>
                <w:bCs/>
                <w:sz w:val="20"/>
                <w:szCs w:val="20"/>
                <w:lang w:eastAsia="en-GB"/>
              </w:rPr>
              <w:t>)</w:t>
            </w: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single" w:sz="4" w:space="0" w:color="auto"/>
              <w:left w:val="nil"/>
              <w:bottom w:val="single" w:sz="4" w:space="0" w:color="auto"/>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(8,811,756)</w:t>
            </w:r>
          </w:p>
        </w:tc>
      </w:tr>
      <w:tr w:rsidR="008F7C64" w:rsidRPr="005A6CAB" w:rsidTr="00361109">
        <w:trPr>
          <w:cantSplit/>
          <w:trHeight w:val="296"/>
        </w:trPr>
        <w:tc>
          <w:tcPr>
            <w:tcW w:w="0" w:type="auto"/>
            <w:tcBorders>
              <w:top w:val="nil"/>
              <w:left w:val="nil"/>
              <w:bottom w:val="nil"/>
              <w:right w:val="nil"/>
            </w:tcBorders>
            <w:shd w:val="clear" w:color="auto" w:fill="auto"/>
            <w:noWrap/>
            <w:vAlign w:val="bottom"/>
            <w:hideMark/>
          </w:tcPr>
          <w:p w:rsidR="008F7C64" w:rsidRPr="00607022" w:rsidRDefault="008F7C64" w:rsidP="008F7C64">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 xml:space="preserve">Net </w:t>
            </w:r>
            <w:r w:rsidR="006D347A">
              <w:rPr>
                <w:rFonts w:ascii="Times New Roman" w:hAnsi="Times New Roman" w:cs="Times New Roman"/>
                <w:b/>
                <w:bCs/>
                <w:sz w:val="20"/>
                <w:szCs w:val="20"/>
                <w:lang w:eastAsia="en-GB"/>
              </w:rPr>
              <w:t xml:space="preserve">(decrease) / </w:t>
            </w:r>
            <w:r w:rsidRPr="00607022">
              <w:rPr>
                <w:rFonts w:ascii="Times New Roman" w:hAnsi="Times New Roman" w:cs="Times New Roman"/>
                <w:b/>
                <w:bCs/>
                <w:sz w:val="20"/>
                <w:szCs w:val="20"/>
                <w:lang w:eastAsia="en-GB"/>
              </w:rPr>
              <w:t>increase in cash and cash equivalents</w:t>
            </w:r>
          </w:p>
        </w:tc>
        <w:tc>
          <w:tcPr>
            <w:tcW w:w="0" w:type="auto"/>
            <w:tcBorders>
              <w:top w:val="nil"/>
              <w:left w:val="nil"/>
              <w:right w:val="nil"/>
            </w:tcBorders>
            <w:shd w:val="clear" w:color="auto" w:fill="auto"/>
            <w:noWrap/>
            <w:vAlign w:val="bottom"/>
          </w:tcPr>
          <w:p w:rsidR="008F7C64" w:rsidRPr="00607022" w:rsidRDefault="006D347A"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(148.073)</w:t>
            </w:r>
          </w:p>
        </w:tc>
        <w:tc>
          <w:tcPr>
            <w:tcW w:w="0" w:type="auto"/>
            <w:tcBorders>
              <w:top w:val="nil"/>
              <w:left w:val="nil"/>
              <w:right w:val="nil"/>
            </w:tcBorders>
            <w:shd w:val="clear" w:color="auto" w:fill="auto"/>
            <w:noWrap/>
            <w:vAlign w:val="bottom"/>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nil"/>
              <w:left w:val="nil"/>
              <w:right w:val="nil"/>
            </w:tcBorders>
            <w:shd w:val="clear" w:color="auto" w:fill="auto"/>
            <w:vAlign w:val="bottom"/>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219,317</w:t>
            </w:r>
          </w:p>
        </w:tc>
      </w:tr>
      <w:tr w:rsidR="008F7C64" w:rsidRPr="005A6CAB" w:rsidTr="00361109">
        <w:trPr>
          <w:cantSplit/>
          <w:trHeight w:hRule="exact" w:val="275"/>
        </w:trPr>
        <w:tc>
          <w:tcPr>
            <w:tcW w:w="0" w:type="auto"/>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2000" w:type="dxa"/>
            <w:tcBorders>
              <w:top w:val="nil"/>
              <w:left w:val="nil"/>
              <w:bottom w:val="nil"/>
              <w:right w:val="nil"/>
            </w:tcBorders>
            <w:shd w:val="clear" w:color="auto" w:fill="auto"/>
            <w:noWrap/>
            <w:vAlign w:val="center"/>
          </w:tcPr>
          <w:p w:rsidR="008F7C64" w:rsidRPr="00607022" w:rsidRDefault="008F7C64" w:rsidP="008F7C64">
            <w:pPr>
              <w:spacing w:after="0" w:line="240" w:lineRule="auto"/>
              <w:rPr>
                <w:rFonts w:ascii="Times New Roman" w:hAnsi="Times New Roman" w:cs="Times New Roman"/>
                <w:b/>
                <w:bCs/>
                <w:sz w:val="20"/>
                <w:szCs w:val="20"/>
                <w:lang w:eastAsia="en-GB"/>
              </w:rPr>
            </w:pP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highlight w:val="yellow"/>
                <w:lang w:eastAsia="en-GB"/>
              </w:rPr>
            </w:pPr>
          </w:p>
        </w:tc>
        <w:tc>
          <w:tcPr>
            <w:tcW w:w="1574" w:type="dxa"/>
            <w:tcBorders>
              <w:top w:val="nil"/>
              <w:left w:val="nil"/>
              <w:bottom w:val="nil"/>
              <w:right w:val="nil"/>
            </w:tcBorders>
            <w:shd w:val="clear" w:color="auto" w:fill="auto"/>
            <w:vAlign w:val="center"/>
          </w:tcPr>
          <w:p w:rsidR="008F7C64" w:rsidRPr="006B474A" w:rsidRDefault="008F7C64" w:rsidP="008F7C64">
            <w:pPr>
              <w:spacing w:after="0" w:line="240" w:lineRule="auto"/>
              <w:rPr>
                <w:rFonts w:ascii="Times New Roman" w:hAnsi="Times New Roman" w:cs="Times New Roman"/>
                <w:bCs/>
                <w:sz w:val="20"/>
                <w:szCs w:val="20"/>
                <w:lang w:eastAsia="en-GB"/>
              </w:rPr>
            </w:pPr>
          </w:p>
        </w:tc>
      </w:tr>
      <w:tr w:rsidR="008F7C64" w:rsidRPr="005A6CAB" w:rsidTr="00361109">
        <w:trPr>
          <w:cantSplit/>
          <w:trHeight w:hRule="exact" w:val="340"/>
        </w:trPr>
        <w:tc>
          <w:tcPr>
            <w:tcW w:w="0" w:type="auto"/>
            <w:tcBorders>
              <w:top w:val="nil"/>
              <w:left w:val="nil"/>
              <w:bottom w:val="nil"/>
              <w:right w:val="nil"/>
            </w:tcBorders>
            <w:shd w:val="clear" w:color="auto" w:fill="auto"/>
            <w:noWrap/>
            <w:vAlign w:val="bottom"/>
            <w:hideMark/>
          </w:tcPr>
          <w:p w:rsidR="008F7C64" w:rsidRPr="00607022" w:rsidRDefault="008F7C64" w:rsidP="006D347A">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 xml:space="preserve">Cash and cash equivalents </w:t>
            </w:r>
            <w:r>
              <w:rPr>
                <w:rFonts w:ascii="Times New Roman" w:hAnsi="Times New Roman" w:cs="Times New Roman"/>
                <w:b/>
                <w:bCs/>
                <w:sz w:val="20"/>
                <w:szCs w:val="20"/>
                <w:lang w:eastAsia="en-GB"/>
              </w:rPr>
              <w:t xml:space="preserve">at </w:t>
            </w:r>
            <w:r w:rsidR="006D347A">
              <w:rPr>
                <w:rFonts w:ascii="Times New Roman" w:hAnsi="Times New Roman" w:cs="Times New Roman"/>
                <w:b/>
                <w:bCs/>
                <w:sz w:val="20"/>
                <w:szCs w:val="20"/>
                <w:lang w:eastAsia="en-GB"/>
              </w:rPr>
              <w:t>the beginning of the year</w:t>
            </w:r>
          </w:p>
        </w:tc>
        <w:tc>
          <w:tcPr>
            <w:tcW w:w="2000" w:type="dxa"/>
            <w:tcBorders>
              <w:top w:val="nil"/>
              <w:left w:val="nil"/>
              <w:bottom w:val="nil"/>
              <w:right w:val="nil"/>
            </w:tcBorders>
            <w:shd w:val="clear" w:color="auto" w:fill="auto"/>
            <w:noWrap/>
            <w:vAlign w:val="bottom"/>
          </w:tcPr>
          <w:p w:rsidR="008F7C64" w:rsidRPr="00607022" w:rsidRDefault="006D347A"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913,260</w:t>
            </w:r>
          </w:p>
        </w:tc>
        <w:tc>
          <w:tcPr>
            <w:tcW w:w="277" w:type="dxa"/>
            <w:tcBorders>
              <w:top w:val="nil"/>
              <w:left w:val="nil"/>
              <w:bottom w:val="nil"/>
              <w:right w:val="nil"/>
            </w:tcBorders>
            <w:shd w:val="clear" w:color="auto" w:fill="auto"/>
            <w:noWrap/>
            <w:vAlign w:val="bottom"/>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nil"/>
              <w:left w:val="nil"/>
              <w:bottom w:val="nil"/>
              <w:right w:val="nil"/>
            </w:tcBorders>
            <w:shd w:val="clear" w:color="auto" w:fill="auto"/>
            <w:vAlign w:val="bottom"/>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693,943</w:t>
            </w:r>
          </w:p>
        </w:tc>
      </w:tr>
      <w:tr w:rsidR="008F7C64" w:rsidRPr="005A6CAB" w:rsidTr="00361109">
        <w:trPr>
          <w:cantSplit/>
          <w:trHeight w:hRule="exact" w:val="340"/>
        </w:trPr>
        <w:tc>
          <w:tcPr>
            <w:tcW w:w="0" w:type="auto"/>
            <w:tcBorders>
              <w:top w:val="nil"/>
              <w:left w:val="nil"/>
              <w:bottom w:val="nil"/>
              <w:right w:val="nil"/>
            </w:tcBorders>
            <w:shd w:val="clear" w:color="auto" w:fill="auto"/>
            <w:noWrap/>
            <w:vAlign w:val="center"/>
            <w:hideMark/>
          </w:tcPr>
          <w:p w:rsidR="008F7C64" w:rsidRPr="00607022" w:rsidRDefault="008F7C64" w:rsidP="006D347A">
            <w:pPr>
              <w:spacing w:after="0" w:line="240" w:lineRule="auto"/>
              <w:rPr>
                <w:rFonts w:ascii="Times New Roman" w:hAnsi="Times New Roman" w:cs="Times New Roman"/>
                <w:b/>
                <w:bCs/>
                <w:sz w:val="20"/>
                <w:szCs w:val="20"/>
                <w:lang w:eastAsia="en-GB"/>
              </w:rPr>
            </w:pPr>
            <w:r w:rsidRPr="00607022">
              <w:rPr>
                <w:rFonts w:ascii="Times New Roman" w:hAnsi="Times New Roman" w:cs="Times New Roman"/>
                <w:b/>
                <w:bCs/>
                <w:sz w:val="20"/>
                <w:szCs w:val="20"/>
                <w:lang w:eastAsia="en-GB"/>
              </w:rPr>
              <w:t xml:space="preserve">Cash and cash equivalents at </w:t>
            </w:r>
            <w:r w:rsidR="006D347A">
              <w:rPr>
                <w:rFonts w:ascii="Times New Roman" w:hAnsi="Times New Roman" w:cs="Times New Roman"/>
                <w:b/>
                <w:bCs/>
                <w:sz w:val="20"/>
                <w:szCs w:val="20"/>
                <w:lang w:eastAsia="en-GB"/>
              </w:rPr>
              <w:t>the end of the year</w:t>
            </w:r>
          </w:p>
        </w:tc>
        <w:tc>
          <w:tcPr>
            <w:tcW w:w="2000" w:type="dxa"/>
            <w:tcBorders>
              <w:top w:val="single" w:sz="4" w:space="0" w:color="auto"/>
              <w:left w:val="nil"/>
              <w:bottom w:val="single" w:sz="8" w:space="0" w:color="auto"/>
              <w:right w:val="nil"/>
            </w:tcBorders>
            <w:shd w:val="clear" w:color="auto" w:fill="auto"/>
            <w:noWrap/>
            <w:vAlign w:val="center"/>
          </w:tcPr>
          <w:p w:rsidR="008F7C64" w:rsidRPr="00607022" w:rsidRDefault="006D347A" w:rsidP="008F7C64">
            <w:pPr>
              <w:spacing w:after="0" w:line="240" w:lineRule="auto"/>
              <w:jc w:val="right"/>
              <w:rPr>
                <w:rFonts w:ascii="Times New Roman" w:hAnsi="Times New Roman" w:cs="Times New Roman"/>
                <w:b/>
                <w:bCs/>
                <w:sz w:val="20"/>
                <w:szCs w:val="20"/>
                <w:lang w:eastAsia="en-GB"/>
              </w:rPr>
            </w:pPr>
            <w:r>
              <w:rPr>
                <w:rFonts w:ascii="Times New Roman" w:hAnsi="Times New Roman" w:cs="Times New Roman"/>
                <w:b/>
                <w:bCs/>
                <w:sz w:val="20"/>
                <w:szCs w:val="20"/>
                <w:lang w:eastAsia="en-GB"/>
              </w:rPr>
              <w:t>765,187</w:t>
            </w:r>
          </w:p>
        </w:tc>
        <w:tc>
          <w:tcPr>
            <w:tcW w:w="277" w:type="dxa"/>
            <w:tcBorders>
              <w:top w:val="nil"/>
              <w:left w:val="nil"/>
              <w:bottom w:val="nil"/>
              <w:right w:val="nil"/>
            </w:tcBorders>
            <w:shd w:val="clear" w:color="auto" w:fill="auto"/>
            <w:noWrap/>
            <w:vAlign w:val="center"/>
            <w:hideMark/>
          </w:tcPr>
          <w:p w:rsidR="008F7C64" w:rsidRPr="00607022" w:rsidRDefault="008F7C64" w:rsidP="008F7C64">
            <w:pPr>
              <w:spacing w:after="0" w:line="240" w:lineRule="auto"/>
              <w:rPr>
                <w:rFonts w:ascii="Times New Roman" w:hAnsi="Times New Roman" w:cs="Times New Roman"/>
                <w:sz w:val="20"/>
                <w:szCs w:val="20"/>
                <w:lang w:eastAsia="en-GB"/>
              </w:rPr>
            </w:pPr>
          </w:p>
        </w:tc>
        <w:tc>
          <w:tcPr>
            <w:tcW w:w="1574" w:type="dxa"/>
            <w:tcBorders>
              <w:top w:val="single" w:sz="4" w:space="0" w:color="auto"/>
              <w:left w:val="nil"/>
              <w:bottom w:val="single" w:sz="8" w:space="0" w:color="auto"/>
              <w:right w:val="nil"/>
            </w:tcBorders>
            <w:shd w:val="clear" w:color="auto" w:fill="auto"/>
            <w:vAlign w:val="center"/>
          </w:tcPr>
          <w:p w:rsidR="008F7C64" w:rsidRPr="006B474A" w:rsidRDefault="008F7C64" w:rsidP="008F7C64">
            <w:pPr>
              <w:spacing w:after="0" w:line="240" w:lineRule="auto"/>
              <w:jc w:val="right"/>
              <w:rPr>
                <w:rFonts w:ascii="Times New Roman" w:hAnsi="Times New Roman" w:cs="Times New Roman"/>
                <w:bCs/>
                <w:sz w:val="20"/>
                <w:szCs w:val="20"/>
                <w:lang w:eastAsia="en-GB"/>
              </w:rPr>
            </w:pPr>
            <w:r w:rsidRPr="006B474A">
              <w:rPr>
                <w:rFonts w:ascii="Times New Roman" w:hAnsi="Times New Roman" w:cs="Times New Roman"/>
                <w:bCs/>
                <w:sz w:val="20"/>
                <w:szCs w:val="20"/>
                <w:lang w:eastAsia="en-GB"/>
              </w:rPr>
              <w:t>913,260</w:t>
            </w:r>
          </w:p>
        </w:tc>
      </w:tr>
    </w:tbl>
    <w:p w:rsidR="006D347A" w:rsidRDefault="006D347A" w:rsidP="007818BD">
      <w:pPr>
        <w:spacing w:after="0" w:line="240" w:lineRule="auto"/>
        <w:rPr>
          <w:rFonts w:ascii="Times New Roman" w:hAnsi="Times New Roman" w:cs="Times New Roman"/>
          <w:bCs/>
          <w:sz w:val="20"/>
          <w:szCs w:val="20"/>
        </w:rPr>
      </w:pPr>
    </w:p>
    <w:p w:rsidR="006D347A" w:rsidRDefault="006D347A" w:rsidP="007818BD">
      <w:pPr>
        <w:spacing w:after="0" w:line="240" w:lineRule="auto"/>
        <w:rPr>
          <w:rFonts w:ascii="Times New Roman" w:hAnsi="Times New Roman" w:cs="Times New Roman"/>
          <w:bCs/>
          <w:sz w:val="20"/>
          <w:szCs w:val="20"/>
        </w:rPr>
      </w:pPr>
    </w:p>
    <w:p w:rsidR="006D347A" w:rsidRDefault="006D347A" w:rsidP="007818BD">
      <w:pPr>
        <w:spacing w:after="0" w:line="240" w:lineRule="auto"/>
        <w:rPr>
          <w:rFonts w:ascii="Times New Roman" w:hAnsi="Times New Roman" w:cs="Times New Roman"/>
          <w:bCs/>
          <w:sz w:val="20"/>
          <w:szCs w:val="20"/>
        </w:rPr>
      </w:pPr>
    </w:p>
    <w:p w:rsidR="00433406" w:rsidRPr="00607022" w:rsidRDefault="006D347A" w:rsidP="007818BD">
      <w:pPr>
        <w:spacing w:after="0" w:line="240" w:lineRule="auto"/>
        <w:rPr>
          <w:rFonts w:cs="Times New Roman"/>
        </w:rPr>
      </w:pPr>
      <w:r>
        <w:rPr>
          <w:rFonts w:ascii="Times New Roman" w:hAnsi="Times New Roman" w:cs="Times New Roman"/>
          <w:bCs/>
          <w:sz w:val="20"/>
          <w:szCs w:val="20"/>
        </w:rPr>
        <w:t>T</w:t>
      </w:r>
      <w:r w:rsidRPr="00607022">
        <w:rPr>
          <w:rFonts w:ascii="Times New Roman" w:hAnsi="Times New Roman" w:cs="Times New Roman"/>
          <w:bCs/>
          <w:sz w:val="20"/>
          <w:szCs w:val="20"/>
        </w:rPr>
        <w:t xml:space="preserve">he Annual Report is available at </w:t>
      </w:r>
      <w:hyperlink r:id="rId7" w:history="1">
        <w:r w:rsidRPr="00607022">
          <w:rPr>
            <w:rStyle w:val="Hyperlink"/>
            <w:rFonts w:ascii="Times New Roman" w:hAnsi="Times New Roman" w:cs="Times New Roman"/>
            <w:bCs/>
            <w:sz w:val="20"/>
            <w:szCs w:val="20"/>
          </w:rPr>
          <w:t>www.eloro.com</w:t>
        </w:r>
      </w:hyperlink>
    </w:p>
    <w:sectPr w:rsidR="00433406" w:rsidRPr="00607022" w:rsidSect="0016297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109" w:rsidRDefault="00361109" w:rsidP="00433406">
      <w:pPr>
        <w:spacing w:after="0" w:line="240" w:lineRule="auto"/>
      </w:pPr>
      <w:r>
        <w:separator/>
      </w:r>
    </w:p>
  </w:endnote>
  <w:endnote w:type="continuationSeparator" w:id="0">
    <w:p w:rsidR="00361109" w:rsidRDefault="00361109" w:rsidP="0043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3839404"/>
      <w:docPartObj>
        <w:docPartGallery w:val="Page Numbers (Bottom of Page)"/>
        <w:docPartUnique/>
      </w:docPartObj>
    </w:sdtPr>
    <w:sdtEndPr/>
    <w:sdtContent>
      <w:p w:rsidR="00361109" w:rsidRPr="00433406" w:rsidRDefault="00361109">
        <w:pPr>
          <w:pStyle w:val="Footer"/>
          <w:jc w:val="right"/>
          <w:rPr>
            <w:rFonts w:ascii="Arial" w:hAnsi="Arial" w:cs="Arial"/>
          </w:rPr>
        </w:pPr>
        <w:r w:rsidRPr="00433406">
          <w:rPr>
            <w:rFonts w:ascii="Arial" w:hAnsi="Arial" w:cs="Arial"/>
          </w:rPr>
          <w:fldChar w:fldCharType="begin"/>
        </w:r>
        <w:r w:rsidRPr="00433406">
          <w:rPr>
            <w:rFonts w:ascii="Arial" w:hAnsi="Arial" w:cs="Arial"/>
          </w:rPr>
          <w:instrText xml:space="preserve"> PAGE   \* MERGEFORMAT </w:instrText>
        </w:r>
        <w:r w:rsidRPr="00433406">
          <w:rPr>
            <w:rFonts w:ascii="Arial" w:hAnsi="Arial" w:cs="Arial"/>
          </w:rPr>
          <w:fldChar w:fldCharType="separate"/>
        </w:r>
        <w:r w:rsidR="00863B49">
          <w:rPr>
            <w:rFonts w:ascii="Arial" w:hAnsi="Arial" w:cs="Arial"/>
            <w:noProof/>
          </w:rPr>
          <w:t>7</w:t>
        </w:r>
        <w:r w:rsidRPr="00433406">
          <w:rPr>
            <w:rFonts w:ascii="Arial" w:hAnsi="Arial" w:cs="Arial"/>
          </w:rPr>
          <w:fldChar w:fldCharType="end"/>
        </w:r>
      </w:p>
    </w:sdtContent>
  </w:sdt>
  <w:p w:rsidR="00361109" w:rsidRDefault="00361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109" w:rsidRDefault="00361109" w:rsidP="00433406">
      <w:pPr>
        <w:spacing w:after="0" w:line="240" w:lineRule="auto"/>
      </w:pPr>
      <w:r>
        <w:separator/>
      </w:r>
    </w:p>
  </w:footnote>
  <w:footnote w:type="continuationSeparator" w:id="0">
    <w:p w:rsidR="00361109" w:rsidRDefault="00361109" w:rsidP="00433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109" w:rsidRPr="0056180C" w:rsidRDefault="00361109" w:rsidP="00433406">
    <w:pPr>
      <w:spacing w:before="36" w:line="264" w:lineRule="auto"/>
      <w:ind w:right="1826"/>
      <w:rPr>
        <w:rFonts w:ascii="Times New Roman" w:hAnsi="Times New Roman" w:cs="Times New Roman"/>
        <w:spacing w:val="12"/>
        <w:sz w:val="32"/>
        <w:szCs w:val="32"/>
      </w:rPr>
    </w:pPr>
    <w:r w:rsidRPr="0056180C">
      <w:rPr>
        <w:rFonts w:ascii="Times New Roman" w:hAnsi="Times New Roman" w:cs="Times New Roman"/>
        <w:spacing w:val="12"/>
        <w:sz w:val="32"/>
        <w:szCs w:val="32"/>
      </w:rPr>
      <w:t>El Oro Ltd</w:t>
    </w:r>
  </w:p>
  <w:p w:rsidR="00361109" w:rsidRPr="0056180C" w:rsidRDefault="00361109" w:rsidP="00433406">
    <w:pPr>
      <w:spacing w:before="36" w:line="264" w:lineRule="auto"/>
      <w:ind w:right="1826"/>
      <w:rPr>
        <w:rFonts w:ascii="Times New Roman" w:hAnsi="Times New Roman" w:cs="Times New Roman"/>
        <w:spacing w:val="12"/>
        <w:sz w:val="32"/>
        <w:szCs w:val="32"/>
      </w:rPr>
    </w:pPr>
    <w:r w:rsidRPr="0056180C">
      <w:rPr>
        <w:rFonts w:ascii="Times New Roman" w:hAnsi="Times New Roman" w:cs="Times New Roman"/>
        <w:spacing w:val="12"/>
        <w:sz w:val="32"/>
        <w:szCs w:val="32"/>
      </w:rPr>
      <w:t>Preliminary Announcement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07"/>
    <w:rsid w:val="00001B0D"/>
    <w:rsid w:val="000034DA"/>
    <w:rsid w:val="00015D56"/>
    <w:rsid w:val="00023C32"/>
    <w:rsid w:val="00052504"/>
    <w:rsid w:val="000B2050"/>
    <w:rsid w:val="00162970"/>
    <w:rsid w:val="001D66F8"/>
    <w:rsid w:val="001E439D"/>
    <w:rsid w:val="00210983"/>
    <w:rsid w:val="00246C9A"/>
    <w:rsid w:val="002654DD"/>
    <w:rsid w:val="0026629C"/>
    <w:rsid w:val="002719AE"/>
    <w:rsid w:val="00276385"/>
    <w:rsid w:val="002A105E"/>
    <w:rsid w:val="002C6DB7"/>
    <w:rsid w:val="002F1985"/>
    <w:rsid w:val="002F46E0"/>
    <w:rsid w:val="0033032F"/>
    <w:rsid w:val="00333712"/>
    <w:rsid w:val="00345D34"/>
    <w:rsid w:val="00361109"/>
    <w:rsid w:val="003A799A"/>
    <w:rsid w:val="003B1479"/>
    <w:rsid w:val="003B2695"/>
    <w:rsid w:val="003C3F53"/>
    <w:rsid w:val="003D7ED7"/>
    <w:rsid w:val="003E2868"/>
    <w:rsid w:val="00402F95"/>
    <w:rsid w:val="00410955"/>
    <w:rsid w:val="00412242"/>
    <w:rsid w:val="00433406"/>
    <w:rsid w:val="004872B5"/>
    <w:rsid w:val="004A55DD"/>
    <w:rsid w:val="004D4F6E"/>
    <w:rsid w:val="004F0C9E"/>
    <w:rsid w:val="004F3550"/>
    <w:rsid w:val="005105EC"/>
    <w:rsid w:val="00512AF5"/>
    <w:rsid w:val="00537741"/>
    <w:rsid w:val="00542396"/>
    <w:rsid w:val="0056180C"/>
    <w:rsid w:val="00582B6E"/>
    <w:rsid w:val="005A6CAB"/>
    <w:rsid w:val="005E0DDB"/>
    <w:rsid w:val="00607022"/>
    <w:rsid w:val="00640D70"/>
    <w:rsid w:val="006A658F"/>
    <w:rsid w:val="006B1A5B"/>
    <w:rsid w:val="006B474A"/>
    <w:rsid w:val="006C61DF"/>
    <w:rsid w:val="006C7E08"/>
    <w:rsid w:val="006D2681"/>
    <w:rsid w:val="006D347A"/>
    <w:rsid w:val="006F3003"/>
    <w:rsid w:val="00707DC8"/>
    <w:rsid w:val="0074154D"/>
    <w:rsid w:val="00743BB3"/>
    <w:rsid w:val="007557C0"/>
    <w:rsid w:val="007818BD"/>
    <w:rsid w:val="00790E64"/>
    <w:rsid w:val="007E1BDE"/>
    <w:rsid w:val="008326FC"/>
    <w:rsid w:val="00843360"/>
    <w:rsid w:val="008566B2"/>
    <w:rsid w:val="00863B49"/>
    <w:rsid w:val="0087558F"/>
    <w:rsid w:val="00882370"/>
    <w:rsid w:val="008C7C1A"/>
    <w:rsid w:val="008D2D49"/>
    <w:rsid w:val="008F2EB6"/>
    <w:rsid w:val="008F490B"/>
    <w:rsid w:val="008F7C64"/>
    <w:rsid w:val="009130EC"/>
    <w:rsid w:val="00926C5A"/>
    <w:rsid w:val="00927F90"/>
    <w:rsid w:val="00952275"/>
    <w:rsid w:val="00960A17"/>
    <w:rsid w:val="009677DF"/>
    <w:rsid w:val="00972124"/>
    <w:rsid w:val="00973488"/>
    <w:rsid w:val="0099400C"/>
    <w:rsid w:val="00A06A8C"/>
    <w:rsid w:val="00A3702E"/>
    <w:rsid w:val="00AB4A7D"/>
    <w:rsid w:val="00AC7871"/>
    <w:rsid w:val="00AD520D"/>
    <w:rsid w:val="00B320CF"/>
    <w:rsid w:val="00B94DDE"/>
    <w:rsid w:val="00BA2A4E"/>
    <w:rsid w:val="00BB7D50"/>
    <w:rsid w:val="00BD36B5"/>
    <w:rsid w:val="00C34A99"/>
    <w:rsid w:val="00C50D7E"/>
    <w:rsid w:val="00C56BE6"/>
    <w:rsid w:val="00D11E0D"/>
    <w:rsid w:val="00D16385"/>
    <w:rsid w:val="00D23979"/>
    <w:rsid w:val="00D45107"/>
    <w:rsid w:val="00D75B91"/>
    <w:rsid w:val="00D825B8"/>
    <w:rsid w:val="00D855A0"/>
    <w:rsid w:val="00DA25B8"/>
    <w:rsid w:val="00DC7B28"/>
    <w:rsid w:val="00DE286B"/>
    <w:rsid w:val="00DF1558"/>
    <w:rsid w:val="00DF2F66"/>
    <w:rsid w:val="00E13D1E"/>
    <w:rsid w:val="00E215C9"/>
    <w:rsid w:val="00E33007"/>
    <w:rsid w:val="00E44BAA"/>
    <w:rsid w:val="00E55D88"/>
    <w:rsid w:val="00E61F3B"/>
    <w:rsid w:val="00E84E57"/>
    <w:rsid w:val="00F5449F"/>
    <w:rsid w:val="00F80EDE"/>
    <w:rsid w:val="00FC55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E419F-0804-4385-92B8-7441F8C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406"/>
  </w:style>
  <w:style w:type="paragraph" w:styleId="Footer">
    <w:name w:val="footer"/>
    <w:basedOn w:val="Normal"/>
    <w:link w:val="FooterChar"/>
    <w:uiPriority w:val="99"/>
    <w:unhideWhenUsed/>
    <w:rsid w:val="00433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406"/>
  </w:style>
  <w:style w:type="character" w:styleId="Hyperlink">
    <w:name w:val="Hyperlink"/>
    <w:basedOn w:val="DefaultParagraphFont"/>
    <w:uiPriority w:val="99"/>
    <w:unhideWhenUsed/>
    <w:rsid w:val="003D7ED7"/>
    <w:rPr>
      <w:color w:val="0000FF" w:themeColor="hyperlink"/>
      <w:u w:val="single"/>
    </w:rPr>
  </w:style>
  <w:style w:type="paragraph" w:styleId="BalloonText">
    <w:name w:val="Balloon Text"/>
    <w:basedOn w:val="Normal"/>
    <w:link w:val="BalloonTextChar"/>
    <w:uiPriority w:val="99"/>
    <w:semiHidden/>
    <w:unhideWhenUsed/>
    <w:rsid w:val="00E55D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D88"/>
    <w:rPr>
      <w:rFonts w:ascii="Tahoma" w:hAnsi="Tahoma" w:cs="Tahoma"/>
      <w:sz w:val="16"/>
      <w:szCs w:val="16"/>
    </w:rPr>
  </w:style>
  <w:style w:type="paragraph" w:customStyle="1" w:styleId="Pa0">
    <w:name w:val="Pa0"/>
    <w:basedOn w:val="Normal"/>
    <w:next w:val="Normal"/>
    <w:uiPriority w:val="99"/>
    <w:rsid w:val="004872B5"/>
    <w:pPr>
      <w:autoSpaceDE w:val="0"/>
      <w:autoSpaceDN w:val="0"/>
      <w:adjustRightInd w:val="0"/>
      <w:spacing w:after="0" w:line="241" w:lineRule="atLeast"/>
    </w:pPr>
    <w:rPr>
      <w:rFonts w:ascii="Times New Roman" w:hAnsi="Times New Roman" w:cs="Times New Roman"/>
      <w:sz w:val="24"/>
      <w:szCs w:val="24"/>
    </w:rPr>
  </w:style>
  <w:style w:type="character" w:customStyle="1" w:styleId="A4">
    <w:name w:val="A4"/>
    <w:uiPriority w:val="99"/>
    <w:rsid w:val="004872B5"/>
    <w:rPr>
      <w:color w:val="000000"/>
      <w:sz w:val="18"/>
      <w:szCs w:val="18"/>
    </w:rPr>
  </w:style>
  <w:style w:type="paragraph" w:styleId="ListParagraph">
    <w:name w:val="List Paragraph"/>
    <w:basedOn w:val="Normal"/>
    <w:uiPriority w:val="34"/>
    <w:qFormat/>
    <w:rsid w:val="00DF1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or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28142-43E0-4692-B362-7C8CDFD7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2775</Words>
  <Characters>15819</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steven.mckeane</dc:creator>
  <cp:lastModifiedBy>Sophie Lane</cp:lastModifiedBy>
  <cp:revision>2</cp:revision>
  <cp:lastPrinted>2018-10-02T11:40:00Z</cp:lastPrinted>
  <dcterms:created xsi:type="dcterms:W3CDTF">2018-10-03T13:39:00Z</dcterms:created>
  <dcterms:modified xsi:type="dcterms:W3CDTF">2018-10-03T13:39:00Z</dcterms:modified>
</cp:coreProperties>
</file>